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2488d6k.htm"/>
      <w:bookmarkStart w:id="1" w:name="ksd7248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DoubleDown Interactive Co., Ltd.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Joseph A. Sigrist,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c/o DoubleDown Interactive LLC </w:t>
      </w:r>
    </w:p>
    <w:p>
      <w:pPr>
        <w:pStyle w:val="TextBody"/>
        <w:bidi w:val="0"/>
        <w:spacing w:before="0" w:after="0"/>
        <w:jc w:val="center"/>
        <w:rPr>
          <w:rFonts w:ascii="Times New Roman" w:hAnsi="Times New Roman"/>
          <w:b/>
          <w:sz w:val="20"/>
        </w:rPr>
      </w:pPr>
      <w:r>
        <w:rPr>
          <w:rFonts w:ascii="Times New Roman" w:hAnsi="Times New Roman"/>
          <w:b/>
          <w:sz w:val="20"/>
        </w:rPr>
        <w:t xml:space="preserve">6671 S. Las Vegas Blvd. </w:t>
      </w:r>
    </w:p>
    <w:p>
      <w:pPr>
        <w:pStyle w:val="TextBody"/>
        <w:bidi w:val="0"/>
        <w:spacing w:before="0" w:after="0"/>
        <w:jc w:val="center"/>
        <w:rPr>
          <w:rFonts w:ascii="Times New Roman" w:hAnsi="Times New Roman"/>
          <w:b/>
          <w:sz w:val="20"/>
        </w:rPr>
      </w:pPr>
      <w:r>
        <w:rPr>
          <w:rFonts w:ascii="Times New Roman" w:hAnsi="Times New Roman"/>
          <w:b/>
          <w:sz w:val="20"/>
        </w:rPr>
        <w:t xml:space="preserve">Building D, Suite 210 </w:t>
      </w:r>
    </w:p>
    <w:p>
      <w:pPr>
        <w:pStyle w:val="TextBody"/>
        <w:bidi w:val="0"/>
        <w:spacing w:before="0" w:after="0"/>
        <w:jc w:val="center"/>
        <w:rPr>
          <w:rFonts w:ascii="Times New Roman" w:hAnsi="Times New Roman"/>
          <w:b/>
          <w:sz w:val="20"/>
        </w:rPr>
      </w:pPr>
      <w:r>
        <w:rPr>
          <w:rFonts w:ascii="Times New Roman" w:hAnsi="Times New Roman"/>
          <w:b/>
          <w:sz w:val="20"/>
        </w:rPr>
        <w:t xml:space="preserve">Las Vegas, Nevada 89119 </w:t>
      </w:r>
    </w:p>
    <w:p>
      <w:pPr>
        <w:pStyle w:val="TextBody"/>
        <w:bidi w:val="0"/>
        <w:spacing w:before="0" w:after="0"/>
        <w:jc w:val="center"/>
        <w:rPr>
          <w:rFonts w:ascii="Times New Roman" w:hAnsi="Times New Roman"/>
          <w:b/>
          <w:sz w:val="20"/>
        </w:rPr>
      </w:pPr>
      <w:r>
        <w:rPr>
          <w:rFonts w:ascii="Times New Roman" w:hAnsi="Times New Roman"/>
          <w:b/>
          <w:sz w:val="20"/>
        </w:rPr>
        <w:t xml:space="preserve">+1-702-761-6899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40-F. ☒ Form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i/>
          <w:sz w:val="20"/>
          <w:u w:val="single"/>
        </w:rPr>
      </w:pPr>
      <w:r>
        <w:rPr>
          <w:rFonts w:ascii="Times New Roman" w:hAnsi="Times New Roman"/>
          <w:i/>
          <w:sz w:val="20"/>
          <w:u w:val="single"/>
        </w:rPr>
        <w:t xml:space="preserve">Issuance of Press Release </w:t>
      </w:r>
    </w:p>
    <w:p>
      <w:pPr>
        <w:pStyle w:val="TextBody"/>
        <w:bidi w:val="0"/>
        <w:spacing w:before="120" w:after="0"/>
        <w:jc w:val="left"/>
        <w:rPr>
          <w:rFonts w:ascii="Times New Roman" w:hAnsi="Times New Roman"/>
          <w:sz w:val="20"/>
        </w:rPr>
      </w:pPr>
      <w:r>
        <w:rPr>
          <w:rFonts w:ascii="Times New Roman" w:hAnsi="Times New Roman"/>
          <w:sz w:val="20"/>
        </w:rPr>
        <w:t>On September 11, 2026, DoubleDown Interactive Co., Ltd. (the “</w:t>
      </w:r>
      <w:r>
        <w:rPr>
          <w:rFonts w:ascii="Times New Roman" w:hAnsi="Times New Roman"/>
          <w:sz w:val="20"/>
          <w:u w:val="single"/>
        </w:rPr>
        <w:t>Company</w:t>
      </w:r>
      <w:r>
        <w:rPr>
          <w:rFonts w:ascii="Times New Roman" w:hAnsi="Times New Roman"/>
          <w:sz w:val="20"/>
        </w:rPr>
        <w:t xml:space="preserve">”) issued a press release announcing a $10,000 donation to the ASPCA® (The American Society for the Prevention of Cruelty to Animals®) in support of its mission to provide effective means for the prevention of cruelty to dogs, cats, equines, and farm animals throughout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press release being furnished in this report as Exhibit 99.1 shall not be deemed to be “filed” for the purposes of Section 18 of the Securities Exchange Act of 1934, as amended, or otherwise subject to the liabilities of that section, and shall not be deemed to be incorporated by reference into any filing of the Company under the Securities Act of 1933, as amended, or the Exchange Act, as amended, except to the extent specifically provided in such a filing.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hyperlink w:anchor="d72488dex991.htm">
              <w:r>
                <w:rPr>
                  <w:rStyle w:val="InternetLink"/>
                </w:rPr>
                <w:t xml:space="preserve">Press release of the Company, dated September 11,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52"/>
        <w:gridCol w:w="109"/>
        <w:gridCol w:w="389"/>
        <w:gridCol w:w="109"/>
        <w:gridCol w:w="373"/>
        <w:gridCol w:w="109"/>
        <w:gridCol w:w="4664"/>
      </w:tblGrid>
      <w:tr>
        <w:trPr/>
        <w:tc>
          <w:tcPr>
            <w:tcW w:w="445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64" w:type="dxa"/>
            <w:tcBorders/>
            <w:vAlign w:val="center"/>
          </w:tcPr>
          <w:p>
            <w:pPr>
              <w:pStyle w:val="TableContents"/>
              <w:bidi w:val="0"/>
              <w:spacing w:before="0" w:after="283"/>
              <w:jc w:val="left"/>
              <w:rPr>
                <w:sz w:val="4"/>
                <w:szCs w:val="4"/>
              </w:rPr>
            </w:pPr>
            <w:r>
              <w:rPr>
                <w:sz w:val="4"/>
                <w:szCs w:val="4"/>
              </w:rPr>
            </w:r>
          </w:p>
        </w:tc>
      </w:tr>
      <w:tr>
        <w:trPr/>
        <w:tc>
          <w:tcPr>
            <w:tcW w:w="44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46" w:type="dxa"/>
            <w:gridSpan w:val="3"/>
            <w:tcBorders/>
          </w:tcPr>
          <w:p>
            <w:pPr>
              <w:pStyle w:val="TableContents"/>
              <w:bidi w:val="0"/>
              <w:spacing w:before="0" w:after="283"/>
              <w:jc w:val="left"/>
              <w:rPr>
                <w:b/>
              </w:rPr>
            </w:pPr>
            <w:r>
              <w:rPr>
                <w:b/>
              </w:rPr>
              <w:t>DOUBLEDOWN INTERACTIVE CO., LTD.</w:t>
            </w:r>
          </w:p>
        </w:tc>
      </w:tr>
      <w:tr>
        <w:trPr/>
        <w:tc>
          <w:tcPr>
            <w:tcW w:w="4452" w:type="dxa"/>
            <w:tcBorders/>
          </w:tcPr>
          <w:p>
            <w:pPr>
              <w:pStyle w:val="TableContents"/>
              <w:bidi w:val="0"/>
              <w:spacing w:before="0" w:after="283"/>
              <w:jc w:val="left"/>
              <w:rPr/>
            </w:pPr>
            <w:r>
              <w:rPr/>
              <w:t>Date: September 11, 2026</w:t>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46" w:type="dxa"/>
            <w:gridSpan w:val="3"/>
            <w:tcBorders/>
          </w:tcPr>
          <w:p>
            <w:pPr>
              <w:pStyle w:val="TableContents"/>
              <w:bidi w:val="0"/>
              <w:spacing w:before="0" w:after="283"/>
              <w:jc w:val="left"/>
              <w:rPr>
                <w:sz w:val="4"/>
                <w:szCs w:val="4"/>
              </w:rPr>
            </w:pPr>
            <w:r>
              <w:rPr>
                <w:sz w:val="4"/>
                <w:szCs w:val="4"/>
              </w:rPr>
            </w:r>
          </w:p>
        </w:tc>
      </w:tr>
      <w:tr>
        <w:trPr/>
        <w:tc>
          <w:tcPr>
            <w:tcW w:w="44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3"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664"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Joseph A. Sigrist</w:t>
            </w:r>
          </w:p>
        </w:tc>
      </w:tr>
      <w:tr>
        <w:trPr/>
        <w:tc>
          <w:tcPr>
            <w:tcW w:w="44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64" w:type="dxa"/>
            <w:tcBorders/>
          </w:tcPr>
          <w:p>
            <w:pPr>
              <w:pStyle w:val="TableContents"/>
              <w:bidi w:val="0"/>
              <w:spacing w:before="0" w:after="283"/>
              <w:jc w:val="left"/>
              <w:rPr/>
            </w:pPr>
            <w:r>
              <w:rPr/>
              <w:t>Name: Joseph A. Sigrist</w:t>
            </w:r>
          </w:p>
        </w:tc>
      </w:tr>
      <w:tr>
        <w:trPr/>
        <w:tc>
          <w:tcPr>
            <w:tcW w:w="445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64" w:type="dxa"/>
            <w:tcBorders/>
          </w:tcPr>
          <w:p>
            <w:pPr>
              <w:pStyle w:val="TableContents"/>
              <w:bidi w:val="0"/>
              <w:spacing w:before="0" w:after="283"/>
              <w:jc w:val="left"/>
              <w:rPr/>
            </w:pPr>
            <w:r>
              <w:rPr/>
              <w:t>Title: Chief Financial Officer</w:t>
            </w:r>
          </w:p>
        </w:tc>
      </w:tr>
    </w:tbl>
    <w:p>
      <w:pPr>
        <w:pStyle w:val="TextBody"/>
        <w:bidi w:val="0"/>
        <w:spacing w:before="0" w:after="0"/>
        <w:jc w:val="right"/>
        <w:rPr>
          <w:rFonts w:ascii="Times New Roman" w:hAnsi="Times New Roman"/>
          <w:b/>
          <w:sz w:val="20"/>
        </w:rPr>
      </w:pPr>
      <w:bookmarkStart w:id="2" w:name="d72488dex991.htm"/>
      <w:bookmarkStart w:id="3" w:name="ksd7248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1430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6953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sz w:val="20"/>
        </w:rPr>
      </w:pPr>
      <w:r>
        <w:rPr>
          <w:rFonts w:ascii="Times New Roman" w:hAnsi="Times New Roman"/>
          <w:b/>
          <w:sz w:val="20"/>
        </w:rPr>
        <w:t>DoubleDown Interactive to Donate $10,000 to the ASPCA</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SEOUL, KOREA – September 11, 2026 — DoubleDown Interactive Co., Ltd. (NASDAQ: DDI) (“DoubleDown” or the “Company”), a leading developer and publisher of digital games on mobile and web-based platforms, announced today a $10,000 donation to the </w:t>
      </w:r>
      <w:r>
        <w:rPr>
          <w:rFonts w:ascii="Times New Roman" w:hAnsi="Times New Roman"/>
          <w:sz w:val="20"/>
          <w:u w:val="single"/>
        </w:rPr>
        <w:t>ASPCA</w:t>
      </w:r>
      <w:r>
        <w:rPr>
          <w:rFonts w:ascii="Times New Roman" w:hAnsi="Times New Roman"/>
          <w:sz w:val="20"/>
        </w:rPr>
        <w:t xml:space="preserve">® (The American Society for the Prevention of Cruelty to Animals®) in support of its mission to prevent cruelty to dogs, cats, equines, and farm animals throughout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DoubleDown Casino, played daily by millions of fans worldwide on both desktop and mobile devices, will invite players to celebrate the charitable donation by taking part in a play-to-enter giveaway on September 13, 2026. Coinciding with Hug Your Hound Day, the </w:t>
      </w:r>
      <w:r>
        <w:rPr>
          <w:rFonts w:ascii="Times New Roman" w:hAnsi="Times New Roman"/>
          <w:i/>
          <w:sz w:val="20"/>
        </w:rPr>
        <w:t>Huggable Hounds</w:t>
      </w:r>
      <w:r>
        <w:rPr>
          <w:rFonts w:ascii="Times New Roman" w:hAnsi="Times New Roman"/>
          <w:sz w:val="20"/>
        </w:rPr>
        <w:t xml:space="preserve"> event offers players the chance to learn how DoubleDown Interactive supports the ASPCA® and learn more about the organization’s work to help vulnerable animals in the United States. </w:t>
      </w:r>
    </w:p>
    <w:p>
      <w:pPr>
        <w:pStyle w:val="TextBody"/>
        <w:bidi w:val="0"/>
        <w:spacing w:before="240" w:after="0"/>
        <w:jc w:val="left"/>
        <w:rPr/>
      </w:pPr>
      <w:r>
        <w:rPr/>
        <w:t>“</w:t>
      </w:r>
      <w:r>
        <w:rPr>
          <w:rFonts w:ascii="Times New Roman" w:hAnsi="Times New Roman"/>
          <w:sz w:val="20"/>
        </w:rPr>
        <w:t xml:space="preserve">DoubleDown Interactive is proud to continue our support of the ASPCA®,” said In Keuk Kim, CEO of DoubleDown. “Their important work resonates deeply with our players and staff, as we are all devoted animal lovers. DoubleDown has a long-standing commitment to supporting great causes, and this donation to the ASPCA® follows our recent support of the American Cancer Society and Meals on Wheels.” </w:t>
      </w:r>
    </w:p>
    <w:p>
      <w:pPr>
        <w:pStyle w:val="TextBody"/>
        <w:bidi w:val="0"/>
        <w:spacing w:before="240" w:after="0"/>
        <w:jc w:val="left"/>
        <w:rPr/>
      </w:pPr>
      <w:r>
        <w:rPr/>
        <w:t>“</w:t>
      </w:r>
      <w:r>
        <w:rPr>
          <w:rFonts w:ascii="Times New Roman" w:hAnsi="Times New Roman"/>
          <w:sz w:val="20"/>
        </w:rPr>
        <w:t xml:space="preserve">We’re grateful to DoubleDown Interactive for their generous support of the ASPCA® and our work to help animals in need,” said Meredith Galli, Director of Corporate Partnerships at the ASPCA®. “Through this partnership and the Huggable Hounds event, DoubleDown is helping us connect with a community of passionate animal lovers while supporting our lifesaving work for vulnerable animals across the country. We’re thrilled to have their support and appreciate their commitment to making a difference for animals.” </w:t>
      </w:r>
    </w:p>
    <w:p>
      <w:pPr>
        <w:pStyle w:val="TextBody"/>
        <w:bidi w:val="0"/>
        <w:spacing w:before="240" w:after="0"/>
        <w:jc w:val="left"/>
        <w:rPr>
          <w:rFonts w:ascii="Times New Roman" w:hAnsi="Times New Roman"/>
          <w:sz w:val="20"/>
        </w:rPr>
      </w:pPr>
      <w:r>
        <w:rPr>
          <w:rFonts w:ascii="Times New Roman" w:hAnsi="Times New Roman"/>
          <w:sz w:val="20"/>
        </w:rPr>
        <w:t xml:space="preserve">Visit the ASPCA® website: </w:t>
      </w:r>
      <w:r>
        <w:rPr>
          <w:rFonts w:ascii="Times New Roman" w:hAnsi="Times New Roman"/>
          <w:sz w:val="20"/>
          <w:u w:val="single"/>
        </w:rPr>
        <w:t>http://www.aspca.org/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 the latest activity on our social media pages: </w:t>
      </w:r>
    </w:p>
    <w:p>
      <w:pPr>
        <w:pStyle w:val="TextBody"/>
        <w:bidi w:val="0"/>
        <w:spacing w:before="120" w:after="0"/>
        <w:jc w:val="left"/>
        <w:rPr>
          <w:rFonts w:ascii="Times New Roman" w:hAnsi="Times New Roman"/>
          <w:sz w:val="20"/>
        </w:rPr>
      </w:pPr>
      <w:r>
        <w:rPr>
          <w:rFonts w:ascii="Times New Roman" w:hAnsi="Times New Roman"/>
          <w:sz w:val="20"/>
        </w:rPr>
        <w:t>Facebook: </w:t>
      </w:r>
      <w:r>
        <w:rPr>
          <w:rFonts w:ascii="Times New Roman" w:hAnsi="Times New Roman"/>
          <w:sz w:val="20"/>
          <w:u w:val="single"/>
        </w:rPr>
        <w:t>https://www.facebook.com/doubledowncasino</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Instagram: </w:t>
      </w:r>
      <w:r>
        <w:rPr>
          <w:rFonts w:ascii="Times New Roman" w:hAnsi="Times New Roman"/>
          <w:sz w:val="20"/>
          <w:u w:val="single"/>
        </w:rPr>
        <w:t>https://www.instagram.com/doubledowncasino</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TikTok: </w:t>
      </w:r>
      <w:r>
        <w:rPr>
          <w:rFonts w:ascii="Times New Roman" w:hAnsi="Times New Roman"/>
          <w:sz w:val="20"/>
          <w:u w:val="single"/>
        </w:rPr>
        <w:t>https://www.tiktok.com/@doubledowncasino</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YouTube: </w:t>
      </w:r>
      <w:r>
        <w:rPr>
          <w:rFonts w:ascii="Times New Roman" w:hAnsi="Times New Roman"/>
          <w:sz w:val="20"/>
          <w:u w:val="single"/>
        </w:rPr>
        <w:t>https://www.youtube.com/@DoubleDownCasino</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About DoubleDown</w:t>
      </w:r>
    </w:p>
    <w:p>
      <w:pPr>
        <w:pStyle w:val="TextBody"/>
        <w:bidi w:val="0"/>
        <w:spacing w:before="120" w:after="0"/>
        <w:jc w:val="left"/>
        <w:rPr>
          <w:rFonts w:ascii="Times New Roman" w:hAnsi="Times New Roman"/>
          <w:sz w:val="20"/>
        </w:rPr>
      </w:pPr>
      <w:r>
        <w:rPr>
          <w:rFonts w:ascii="Times New Roman" w:hAnsi="Times New Roman"/>
          <w:sz w:val="20"/>
        </w:rPr>
        <w:t xml:space="preserve">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The Company’s flagship title, DoubleDown Casino, has been a fan-favorite game on leading social and mobile platforms for years, entertaining millions of players worldwide with a lineup of classic and modern games. The Company’s subsidiary, SuprNation, also operates three real-money iGaming sites in Western Europe.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14300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6953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contained in this press release are “forward-looking statements” about future events and expectations. Forward-looking statements are based on our beliefs, assumptions, and expectations of industry trends, our future financial and operating performance, and our growth plans, taking into account the information currently available to us. These statements are not statements of historic fact.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Therefore, you should not place undue reliance on such statements. Words such as “anticipates,” “believes,” “continues,” “estimates,” “expects,” “goal,” “objectives,” “intends,” “may,” “opportunity,” “plans,” “potential,” “near-term,” “long-term,” “projections,” “assumptions,” “projects,” “guidance,” “forecasts,” “outlook,” “target,” “trends,” “should,” “could,” “would,” “will,” and similar expressions are intended to identify such forward-looking statements. We qualify any forward-looking statements entirely by these cautionary factors. We assume no obligation to update or revise any forward-looking statements for any reason or to update the reasons actual results could differ materially from those anticipated in these forward-looking statements, even if new information becomes available in the future. The information contained in, or that can be accessed through, our social media pages is not incorporated by reference into, and is not a part of, this press release. We have included our social media pages in this press release solely for informational purposes. </w:t>
      </w:r>
    </w:p>
    <w:p>
      <w:pPr>
        <w:pStyle w:val="TextBody"/>
        <w:bidi w:val="0"/>
        <w:spacing w:before="240" w:after="0"/>
        <w:jc w:val="left"/>
        <w:rPr>
          <w:rFonts w:ascii="Times New Roman" w:hAnsi="Times New Roman"/>
          <w:b/>
          <w:sz w:val="20"/>
        </w:rPr>
      </w:pPr>
      <w:r>
        <w:rPr>
          <w:rFonts w:ascii="Times New Roman" w:hAnsi="Times New Roman"/>
          <w:b/>
          <w:sz w:val="20"/>
        </w:rPr>
        <w:t xml:space="preserve">Company Contact: </w:t>
      </w:r>
    </w:p>
    <w:p>
      <w:pPr>
        <w:pStyle w:val="TextBody"/>
        <w:bidi w:val="0"/>
        <w:spacing w:before="0" w:after="0"/>
        <w:jc w:val="left"/>
        <w:rPr>
          <w:rFonts w:ascii="Times New Roman" w:hAnsi="Times New Roman"/>
          <w:sz w:val="20"/>
        </w:rPr>
      </w:pPr>
      <w:r>
        <w:rPr>
          <w:rFonts w:ascii="Times New Roman" w:hAnsi="Times New Roman"/>
          <w:sz w:val="20"/>
        </w:rPr>
        <w:t xml:space="preserve">Joe Sigrist </w:t>
      </w:r>
    </w:p>
    <w:p>
      <w:pPr>
        <w:pStyle w:val="TextBody"/>
        <w:bidi w:val="0"/>
        <w:spacing w:before="0" w:after="0"/>
        <w:jc w:val="left"/>
        <w:rPr>
          <w:rFonts w:ascii="Times New Roman" w:hAnsi="Times New Roman"/>
          <w:sz w:val="20"/>
        </w:rPr>
      </w:pPr>
      <w:r>
        <w:rPr>
          <w:rFonts w:ascii="Times New Roman" w:hAnsi="Times New Roman"/>
          <w:sz w:val="20"/>
        </w:rPr>
        <w:t xml:space="preserve">ir@doubledown.com </w:t>
      </w:r>
    </w:p>
    <w:p>
      <w:pPr>
        <w:pStyle w:val="TextBody"/>
        <w:bidi w:val="0"/>
        <w:spacing w:before="0" w:after="0"/>
        <w:jc w:val="left"/>
        <w:rPr>
          <w:rFonts w:ascii="Times New Roman" w:hAnsi="Times New Roman"/>
          <w:sz w:val="20"/>
        </w:rPr>
      </w:pPr>
      <w:r>
        <w:rPr>
          <w:rFonts w:ascii="Times New Roman" w:hAnsi="Times New Roman"/>
          <w:sz w:val="20"/>
        </w:rPr>
        <w:t xml:space="preserve">+1 (206) 773-2266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https://www.doubledowninteractive.com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0" w:after="0"/>
        <w:jc w:val="left"/>
        <w:rPr>
          <w:rFonts w:ascii="Times New Roman" w:hAnsi="Times New Roman"/>
          <w:sz w:val="20"/>
        </w:rPr>
      </w:pPr>
      <w:r>
        <w:rPr>
          <w:rFonts w:ascii="Times New Roman" w:hAnsi="Times New Roman"/>
          <w:sz w:val="20"/>
        </w:rPr>
        <w:t xml:space="preserve">Joseph Jaffoni or Christin Armacost </w:t>
      </w:r>
    </w:p>
    <w:p>
      <w:pPr>
        <w:pStyle w:val="TextBody"/>
        <w:bidi w:val="0"/>
        <w:spacing w:before="0" w:after="0"/>
        <w:jc w:val="left"/>
        <w:rPr>
          <w:rFonts w:ascii="Times New Roman" w:hAnsi="Times New Roman"/>
          <w:sz w:val="20"/>
        </w:rPr>
      </w:pPr>
      <w:r>
        <w:rPr>
          <w:rFonts w:ascii="Times New Roman" w:hAnsi="Times New Roman"/>
          <w:sz w:val="20"/>
        </w:rPr>
        <w:t xml:space="preserve">JCIR </w:t>
      </w:r>
    </w:p>
    <w:p>
      <w:pPr>
        <w:pStyle w:val="TextBody"/>
        <w:bidi w:val="0"/>
        <w:spacing w:before="0" w:after="0"/>
        <w:jc w:val="left"/>
        <w:rPr>
          <w:rFonts w:ascii="Times New Roman" w:hAnsi="Times New Roman"/>
          <w:sz w:val="20"/>
        </w:rPr>
      </w:pPr>
      <w:r>
        <w:rPr>
          <w:rFonts w:ascii="Times New Roman" w:hAnsi="Times New Roman"/>
          <w:sz w:val="20"/>
        </w:rPr>
        <w:t xml:space="preserve">+1 (212) 835-8500 </w:t>
      </w:r>
    </w:p>
    <w:p>
      <w:pPr>
        <w:pStyle w:val="TextBody"/>
        <w:bidi w:val="0"/>
        <w:spacing w:before="0" w:after="0"/>
        <w:jc w:val="left"/>
        <w:rPr>
          <w:rFonts w:ascii="Times New Roman" w:hAnsi="Times New Roman"/>
          <w:sz w:val="20"/>
        </w:rPr>
      </w:pPr>
      <w:r>
        <w:rPr>
          <w:rFonts w:ascii="Times New Roman" w:hAnsi="Times New Roman"/>
          <w:sz w:val="20"/>
        </w:rPr>
        <w:t xml:space="preserve">DDI@jcir.com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1005</Words>
  <Characters>5998</Characters>
  <CharactersWithSpaces>7033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