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9354d6k.htm"/>
      <w:bookmarkStart w:id="1" w:name="ksd3935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DoubleDown Interactive Co., Ltd.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Joseph A. Sigrist,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c/o DoubleDown Interactive LLC </w:t>
      </w:r>
    </w:p>
    <w:p>
      <w:pPr>
        <w:pStyle w:val="TextBody"/>
        <w:bidi w:val="0"/>
        <w:spacing w:before="0" w:after="0"/>
        <w:jc w:val="center"/>
        <w:rPr>
          <w:rFonts w:ascii="Times New Roman" w:hAnsi="Times New Roman"/>
          <w:b/>
          <w:sz w:val="20"/>
        </w:rPr>
      </w:pPr>
      <w:r>
        <w:rPr>
          <w:rFonts w:ascii="Times New Roman" w:hAnsi="Times New Roman"/>
          <w:b/>
          <w:sz w:val="20"/>
        </w:rPr>
        <w:t xml:space="preserve">6671 S. Las Vegas Blvd. </w:t>
      </w:r>
    </w:p>
    <w:p>
      <w:pPr>
        <w:pStyle w:val="TextBody"/>
        <w:bidi w:val="0"/>
        <w:spacing w:before="0" w:after="0"/>
        <w:jc w:val="center"/>
        <w:rPr>
          <w:rFonts w:ascii="Times New Roman" w:hAnsi="Times New Roman"/>
          <w:b/>
          <w:sz w:val="20"/>
        </w:rPr>
      </w:pPr>
      <w:r>
        <w:rPr>
          <w:rFonts w:ascii="Times New Roman" w:hAnsi="Times New Roman"/>
          <w:b/>
          <w:sz w:val="20"/>
        </w:rPr>
        <w:t xml:space="preserve">Building D, Suite 210 </w:t>
      </w:r>
    </w:p>
    <w:p>
      <w:pPr>
        <w:pStyle w:val="TextBody"/>
        <w:bidi w:val="0"/>
        <w:spacing w:before="0" w:after="0"/>
        <w:jc w:val="center"/>
        <w:rPr>
          <w:rFonts w:ascii="Times New Roman" w:hAnsi="Times New Roman"/>
          <w:b/>
          <w:sz w:val="20"/>
        </w:rPr>
      </w:pPr>
      <w:r>
        <w:rPr>
          <w:rFonts w:ascii="Times New Roman" w:hAnsi="Times New Roman"/>
          <w:b/>
          <w:sz w:val="20"/>
        </w:rPr>
        <w:t xml:space="preserve">Las Vegas, Nevada 89119 </w:t>
      </w:r>
    </w:p>
    <w:p>
      <w:pPr>
        <w:pStyle w:val="TextBody"/>
        <w:bidi w:val="0"/>
        <w:spacing w:before="0" w:after="0"/>
        <w:jc w:val="center"/>
        <w:rPr>
          <w:rFonts w:ascii="Times New Roman" w:hAnsi="Times New Roman"/>
          <w:b/>
          <w:sz w:val="20"/>
        </w:rPr>
      </w:pPr>
      <w:r>
        <w:rPr>
          <w:rFonts w:ascii="Times New Roman" w:hAnsi="Times New Roman"/>
          <w:b/>
          <w:sz w:val="20"/>
        </w:rPr>
        <w:t xml:space="preserve">+1-702-761-6899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40-F. ☒ Form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i/>
          <w:sz w:val="20"/>
          <w:u w:val="single"/>
        </w:rPr>
      </w:pPr>
      <w:r>
        <w:rPr>
          <w:rFonts w:ascii="Times New Roman" w:hAnsi="Times New Roman"/>
          <w:i/>
          <w:sz w:val="20"/>
          <w:u w:val="single"/>
        </w:rPr>
        <w:t xml:space="preserve">Issuance of Press Release </w:t>
      </w:r>
    </w:p>
    <w:p>
      <w:pPr>
        <w:pStyle w:val="TextBody"/>
        <w:bidi w:val="0"/>
        <w:spacing w:before="120" w:after="0"/>
        <w:jc w:val="left"/>
        <w:rPr>
          <w:rFonts w:ascii="Times New Roman" w:hAnsi="Times New Roman"/>
          <w:sz w:val="20"/>
        </w:rPr>
      </w:pPr>
      <w:r>
        <w:rPr>
          <w:rFonts w:ascii="Times New Roman" w:hAnsi="Times New Roman"/>
          <w:sz w:val="20"/>
        </w:rPr>
        <w:t>On July 28, 2026, DoubleDown Interactive Co., Ltd. (the “</w:t>
      </w:r>
      <w:r>
        <w:rPr>
          <w:rFonts w:ascii="Times New Roman" w:hAnsi="Times New Roman"/>
          <w:sz w:val="20"/>
          <w:u w:val="single"/>
        </w:rPr>
        <w:t>Company</w:t>
      </w:r>
      <w:r>
        <w:rPr>
          <w:rFonts w:ascii="Times New Roman" w:hAnsi="Times New Roman"/>
          <w:sz w:val="20"/>
        </w:rPr>
        <w:t xml:space="preserve">”) issued a press release to announce that the Company will release its unaudited financial results for the second quarter ended June 30, 2026 on Tuesday, August 11, 2026, and hold a conference call and simultaneous webcast at 4:30 p.m. Eastern Time (1:30 p.m. Pacific Time) on the same date to discuss such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The press release being furnished in this report as Exhibit 99.1 shall not be deemed to be “filed” for the purposes of Section 18 of the Securities Exchange Act of 1934, as amended, or otherwise subject to the liabilities of that section, and shall not be deemed to be incorporated by reference into any filing of the Company under the Securities Act of 1933, as amended, or the Exchange Act, as amended, except to the extent specifically provided in such a filing.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4"/>
        <w:gridCol w:w="701"/>
        <w:gridCol w:w="8660"/>
      </w:tblGrid>
      <w:tr>
        <w:trPr/>
        <w:tc>
          <w:tcPr>
            <w:tcW w:w="844"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8660" w:type="dxa"/>
            <w:tcBorders/>
            <w:vAlign w:val="center"/>
          </w:tcPr>
          <w:p>
            <w:pPr>
              <w:pStyle w:val="TableContents"/>
              <w:bidi w:val="0"/>
              <w:spacing w:before="0" w:after="283"/>
              <w:jc w:val="left"/>
              <w:rPr>
                <w:sz w:val="4"/>
                <w:szCs w:val="4"/>
              </w:rPr>
            </w:pPr>
            <w:r>
              <w:rPr>
                <w:sz w:val="4"/>
                <w:szCs w:val="4"/>
              </w:rPr>
            </w:r>
          </w:p>
        </w:tc>
      </w:tr>
      <w:tr>
        <w:trPr/>
        <w:tc>
          <w:tcPr>
            <w:tcW w:w="8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01" w:type="dxa"/>
            <w:tcBorders/>
            <w:vAlign w:val="bottom"/>
          </w:tcPr>
          <w:p>
            <w:pPr>
              <w:pStyle w:val="TableContents"/>
              <w:bidi w:val="0"/>
              <w:spacing w:before="0" w:after="283"/>
              <w:jc w:val="left"/>
              <w:rPr/>
            </w:pPr>
            <w:r>
              <w:rPr/>
              <w:t>  </w:t>
            </w:r>
          </w:p>
        </w:tc>
        <w:tc>
          <w:tcPr>
            <w:tcW w:w="86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44" w:type="dxa"/>
            <w:tcBorders/>
            <w:vAlign w:val="center"/>
          </w:tcPr>
          <w:p>
            <w:pPr>
              <w:pStyle w:val="TableContents"/>
              <w:bidi w:val="0"/>
              <w:spacing w:before="0" w:after="283"/>
              <w:jc w:val="left"/>
              <w:rPr>
                <w:sz w:val="4"/>
                <w:szCs w:val="4"/>
              </w:rPr>
            </w:pPr>
            <w:r>
              <w:rPr>
                <w:sz w:val="4"/>
                <w:szCs w:val="4"/>
              </w:rPr>
            </w:r>
          </w:p>
        </w:tc>
        <w:tc>
          <w:tcPr>
            <w:tcW w:w="9361" w:type="dxa"/>
            <w:gridSpan w:val="2"/>
            <w:tcBorders/>
            <w:vAlign w:val="center"/>
          </w:tcPr>
          <w:p>
            <w:pPr>
              <w:pStyle w:val="TableContents"/>
              <w:bidi w:val="0"/>
              <w:spacing w:before="0" w:after="283"/>
              <w:jc w:val="left"/>
              <w:rPr>
                <w:sz w:val="4"/>
                <w:szCs w:val="4"/>
              </w:rPr>
            </w:pPr>
            <w:r>
              <w:rPr>
                <w:sz w:val="4"/>
                <w:szCs w:val="4"/>
              </w:rPr>
            </w:r>
          </w:p>
        </w:tc>
      </w:tr>
      <w:tr>
        <w:trPr/>
        <w:tc>
          <w:tcPr>
            <w:tcW w:w="844" w:type="dxa"/>
            <w:tcBorders/>
          </w:tcPr>
          <w:p>
            <w:pPr>
              <w:pStyle w:val="TableContents"/>
              <w:bidi w:val="0"/>
              <w:spacing w:before="0" w:after="283"/>
              <w:jc w:val="left"/>
              <w:rPr/>
            </w:pPr>
            <w:r>
              <w:rPr/>
              <w:t>99.1</w:t>
            </w:r>
          </w:p>
        </w:tc>
        <w:tc>
          <w:tcPr>
            <w:tcW w:w="701" w:type="dxa"/>
            <w:tcBorders/>
            <w:vAlign w:val="bottom"/>
          </w:tcPr>
          <w:p>
            <w:pPr>
              <w:pStyle w:val="TableContents"/>
              <w:bidi w:val="0"/>
              <w:spacing w:before="0" w:after="283"/>
              <w:jc w:val="left"/>
              <w:rPr/>
            </w:pPr>
            <w:r>
              <w:rPr/>
              <w:t>  </w:t>
            </w:r>
          </w:p>
        </w:tc>
        <w:tc>
          <w:tcPr>
            <w:tcW w:w="8660" w:type="dxa"/>
            <w:tcBorders/>
          </w:tcPr>
          <w:p>
            <w:pPr>
              <w:pStyle w:val="TableContents"/>
              <w:bidi w:val="0"/>
              <w:spacing w:before="0" w:after="283"/>
              <w:jc w:val="left"/>
              <w:rPr/>
            </w:pPr>
            <w:hyperlink w:anchor="d39354dex991.htm">
              <w:r>
                <w:rPr>
                  <w:rStyle w:val="InternetLink"/>
                </w:rPr>
                <w:t xml:space="preserve">Press release of the Company, dated July 28,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DOUBLEDOWN INTERACTIVE CO., LTD.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Joseph A. Sigrist</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Joseph A. Sigrist</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28, 2026 </w:t>
      </w:r>
    </w:p>
    <w:p>
      <w:pPr>
        <w:pStyle w:val="TextBody"/>
        <w:bidi w:val="0"/>
        <w:spacing w:before="0" w:after="0"/>
        <w:jc w:val="right"/>
        <w:rPr>
          <w:rFonts w:ascii="Times New Roman" w:hAnsi="Times New Roman"/>
          <w:b/>
          <w:sz w:val="20"/>
        </w:rPr>
      </w:pPr>
      <w:bookmarkStart w:id="2" w:name="d39354dex991.htm"/>
      <w:bookmarkStart w:id="3" w:name="ksd3935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049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 cy="6572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DOUBLEDOWN INTERACTIVE TO REPORT 2026 SECOND QUARTER RESULTS </w:t>
      </w:r>
    </w:p>
    <w:p>
      <w:pPr>
        <w:pStyle w:val="TextBody"/>
        <w:bidi w:val="0"/>
        <w:spacing w:before="0" w:after="0"/>
        <w:jc w:val="center"/>
        <w:rPr>
          <w:rFonts w:ascii="Times New Roman" w:hAnsi="Times New Roman"/>
          <w:b/>
          <w:sz w:val="20"/>
        </w:rPr>
      </w:pPr>
      <w:r>
        <w:rPr>
          <w:rFonts w:ascii="Times New Roman" w:hAnsi="Times New Roman"/>
          <w:b/>
          <w:sz w:val="20"/>
        </w:rPr>
        <w:t xml:space="preserve">ON AUGUST 11 AND HOST CONFERENCE CALL AND WEBCAST </w:t>
      </w:r>
    </w:p>
    <w:p>
      <w:pPr>
        <w:pStyle w:val="TextBody"/>
        <w:bidi w:val="0"/>
        <w:spacing w:before="240" w:after="0"/>
        <w:jc w:val="left"/>
        <w:rPr>
          <w:rFonts w:ascii="Times New Roman" w:hAnsi="Times New Roman"/>
          <w:sz w:val="20"/>
        </w:rPr>
      </w:pPr>
      <w:r>
        <w:rPr>
          <w:rFonts w:ascii="Times New Roman" w:hAnsi="Times New Roman"/>
          <w:sz w:val="20"/>
        </w:rPr>
        <w:t>SEOUL, KOREA – July 28, 2026 — DoubleDown Interactive Co., Ltd. (NASDAQ: DDI) (“</w:t>
      </w:r>
      <w:r>
        <w:rPr>
          <w:rFonts w:ascii="Times New Roman" w:hAnsi="Times New Roman"/>
          <w:sz w:val="20"/>
          <w:u w:val="single"/>
        </w:rPr>
        <w:t>DoubleDown</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xml:space="preserve">”), a leading developer and publisher of digital games on mobile and web-based platforms, announced today that it will release its 2026 second quarter financial results after the market closes on Tuesday, August 11, 2026, and host a conference call and simultaneous webcast at 4:30 p.m. ET (1:30 p.m. PT) that day. Both the call and webcast are open to the general public. On the call, DoubleDown management will review the Company’s financial results and provide a business update, followed by a question-and-answer session. </w:t>
      </w:r>
    </w:p>
    <w:p>
      <w:pPr>
        <w:pStyle w:val="TextBody"/>
        <w:bidi w:val="0"/>
        <w:spacing w:before="240" w:after="0"/>
        <w:jc w:val="left"/>
        <w:rPr>
          <w:rFonts w:ascii="Times New Roman" w:hAnsi="Times New Roman"/>
          <w:sz w:val="20"/>
        </w:rPr>
      </w:pPr>
      <w:r>
        <w:rPr>
          <w:rFonts w:ascii="Times New Roman" w:hAnsi="Times New Roman"/>
          <w:sz w:val="20"/>
        </w:rPr>
        <w:t xml:space="preserve">To access the call, please use the following link: </w:t>
      </w:r>
      <w:r>
        <w:rPr>
          <w:rFonts w:ascii="Times New Roman" w:hAnsi="Times New Roman"/>
          <w:sz w:val="20"/>
          <w:u w:val="single"/>
        </w:rPr>
        <w:t>DoubleDown Second Quarter 2026 Earnings Call</w:t>
      </w:r>
      <w:r>
        <w:rPr>
          <w:rFonts w:ascii="Times New Roman" w:hAnsi="Times New Roman"/>
          <w:sz w:val="20"/>
        </w:rPr>
        <w:t xml:space="preserve">. After registering, an email will be sent, including dial-in details and a unique conference call access code required to join the live call. To ensure you are connected prior to the beginning of the call, please register a minimum of 15 minutes before the start of the call. </w:t>
      </w:r>
    </w:p>
    <w:p>
      <w:pPr>
        <w:pStyle w:val="TextBody"/>
        <w:bidi w:val="0"/>
        <w:spacing w:before="240" w:after="0"/>
        <w:jc w:val="left"/>
        <w:rPr>
          <w:rFonts w:ascii="Times New Roman" w:hAnsi="Times New Roman"/>
          <w:sz w:val="20"/>
        </w:rPr>
      </w:pPr>
      <w:r>
        <w:rPr>
          <w:rFonts w:ascii="Times New Roman" w:hAnsi="Times New Roman"/>
          <w:sz w:val="20"/>
        </w:rPr>
        <w:t xml:space="preserve">A simultaneous webcast of the conference call will be available at: </w:t>
      </w:r>
      <w:r>
        <w:rPr>
          <w:rFonts w:ascii="Times New Roman" w:hAnsi="Times New Roman"/>
          <w:sz w:val="20"/>
          <w:u w:val="single"/>
        </w:rPr>
        <w:t>DoubleDown Second Quarter 2026 Earnings Webcast</w:t>
      </w:r>
      <w:r>
        <w:rPr>
          <w:rFonts w:ascii="Times New Roman" w:hAnsi="Times New Roman"/>
          <w:sz w:val="20"/>
        </w:rPr>
        <w:t xml:space="preserve">, or via the Investor Relations page of the DoubleDown website at </w:t>
      </w:r>
      <w:r>
        <w:rPr>
          <w:rFonts w:ascii="Times New Roman" w:hAnsi="Times New Roman"/>
          <w:sz w:val="20"/>
          <w:u w:val="single"/>
        </w:rPr>
        <w:t>ir.doubledowninteractive.com</w:t>
      </w:r>
      <w:r>
        <w:rPr>
          <w:rFonts w:ascii="Times New Roman" w:hAnsi="Times New Roman"/>
          <w:sz w:val="20"/>
        </w:rPr>
        <w:t xml:space="preserve">. A replay will be available on the Company’s Investor Relations website shortly after the event.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DoubleDown Interactive </w:t>
      </w:r>
    </w:p>
    <w:p>
      <w:pPr>
        <w:pStyle w:val="TextBody"/>
        <w:bidi w:val="0"/>
        <w:spacing w:before="120" w:after="0"/>
        <w:jc w:val="left"/>
        <w:rPr>
          <w:rFonts w:ascii="Times New Roman" w:hAnsi="Times New Roman"/>
          <w:sz w:val="20"/>
        </w:rPr>
      </w:pPr>
      <w:r>
        <w:rPr>
          <w:rFonts w:ascii="Times New Roman" w:hAnsi="Times New Roman"/>
          <w:sz w:val="20"/>
        </w:rPr>
        <w:t xml:space="preserve">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social casino title, DoubleDown Casino, has been a fan-favorite game on leading social and mobile platforms for years, entertaining millions of players worldwide with a lineup of classic and modern games. Through its subsidiary WHOW Games GmbH, headquartered in Hamburg, Germany, DoubleDown offers exciting social casino experiences to European players. In addition, the Company’s subsidiary, SuprNation, operates three real-money iGaming sites in Western Europe.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Contact: </w:t>
      </w:r>
    </w:p>
    <w:p>
      <w:pPr>
        <w:pStyle w:val="TextBody"/>
        <w:bidi w:val="0"/>
        <w:spacing w:before="120" w:after="0"/>
        <w:jc w:val="left"/>
        <w:rPr>
          <w:rFonts w:ascii="Times New Roman" w:hAnsi="Times New Roman"/>
          <w:sz w:val="20"/>
        </w:rPr>
      </w:pPr>
      <w:r>
        <w:rPr>
          <w:rFonts w:ascii="Times New Roman" w:hAnsi="Times New Roman"/>
          <w:sz w:val="20"/>
        </w:rPr>
        <w:t xml:space="preserve">Joe Sigrist </w:t>
      </w:r>
    </w:p>
    <w:p>
      <w:pPr>
        <w:pStyle w:val="TextBody"/>
        <w:bidi w:val="0"/>
        <w:spacing w:before="0" w:after="0"/>
        <w:jc w:val="left"/>
        <w:rPr>
          <w:rFonts w:ascii="Times New Roman" w:hAnsi="Times New Roman"/>
          <w:sz w:val="20"/>
        </w:rPr>
      </w:pPr>
      <w:r>
        <w:rPr>
          <w:rFonts w:ascii="Times New Roman" w:hAnsi="Times New Roman"/>
          <w:sz w:val="20"/>
        </w:rPr>
        <w:t xml:space="preserve">ir@doubledown.com </w:t>
      </w:r>
    </w:p>
    <w:p>
      <w:pPr>
        <w:pStyle w:val="TextBody"/>
        <w:bidi w:val="0"/>
        <w:spacing w:before="0" w:after="0"/>
        <w:jc w:val="left"/>
        <w:rPr>
          <w:rFonts w:ascii="Times New Roman" w:hAnsi="Times New Roman"/>
          <w:sz w:val="20"/>
        </w:rPr>
      </w:pPr>
      <w:r>
        <w:rPr>
          <w:rFonts w:ascii="Times New Roman" w:hAnsi="Times New Roman"/>
          <w:sz w:val="20"/>
        </w:rPr>
        <w:t xml:space="preserve">+1 (206) 773-2266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https://www.doubledowninteractive.com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Joseph Jaffoni, Christin Armacost </w:t>
      </w:r>
    </w:p>
    <w:p>
      <w:pPr>
        <w:pStyle w:val="TextBody"/>
        <w:bidi w:val="0"/>
        <w:spacing w:before="0" w:after="0"/>
        <w:jc w:val="left"/>
        <w:rPr>
          <w:rFonts w:ascii="Times New Roman" w:hAnsi="Times New Roman"/>
          <w:sz w:val="20"/>
        </w:rPr>
      </w:pPr>
      <w:r>
        <w:rPr>
          <w:rFonts w:ascii="Times New Roman" w:hAnsi="Times New Roman"/>
          <w:sz w:val="20"/>
        </w:rPr>
        <w:t xml:space="preserve">JCIR </w:t>
      </w:r>
    </w:p>
    <w:p>
      <w:pPr>
        <w:pStyle w:val="TextBody"/>
        <w:bidi w:val="0"/>
        <w:spacing w:before="0" w:after="0"/>
        <w:jc w:val="left"/>
        <w:rPr>
          <w:rFonts w:ascii="Times New Roman" w:hAnsi="Times New Roman"/>
          <w:sz w:val="20"/>
        </w:rPr>
      </w:pPr>
      <w:r>
        <w:rPr>
          <w:rFonts w:ascii="Times New Roman" w:hAnsi="Times New Roman"/>
          <w:sz w:val="20"/>
        </w:rPr>
        <w:t xml:space="preserve">+1 (212) 835-8500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DDI@jcir.com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693</Words>
  <Characters>3841</Characters>
  <CharactersWithSpaces>4556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