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006" w:type="dxa"/>
        <w:jc w:val="left"/>
        <w:tblInd w:w="0" w:type="dxa"/>
        <w:tblLayout w:type="fixed"/>
        <w:tblCellMar>
          <w:top w:w="28" w:type="dxa"/>
          <w:left w:w="28" w:type="dxa"/>
          <w:bottom w:w="28" w:type="dxa"/>
          <w:right w:w="28" w:type="dxa"/>
        </w:tblCellMar>
      </w:tblPr>
      <w:tblGrid>
        <w:gridCol w:w="10006"/>
      </w:tblGrid>
      <w:tr>
        <w:trPr/>
        <w:tc>
          <w:tcPr>
            <w:tcW w:w="100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0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006" w:type="dxa"/>
            <w:tcBorders/>
            <w:vAlign w:val="center"/>
          </w:tcPr>
          <w:p>
            <w:pPr>
              <w:pStyle w:val="TableContents"/>
              <w:bidi w:val="0"/>
              <w:spacing w:before="0" w:after="0"/>
              <w:jc w:val="left"/>
              <w:rPr/>
            </w:pPr>
            <w:r>
              <w:rPr/>
              <w:t xml:space="preserve">UNDER THE SECURITIES EXCHANGE ACT OF 1934 </w:t>
            </w:r>
          </w:p>
        </w:tc>
      </w:tr>
      <w:tr>
        <w:trPr/>
        <w:tc>
          <w:tcPr>
            <w:tcW w:w="1000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006" w:type="dxa"/>
            <w:tcBorders/>
            <w:vAlign w:val="center"/>
          </w:tcPr>
          <w:p>
            <w:pPr>
              <w:pStyle w:val="TableContents"/>
              <w:bidi w:val="0"/>
              <w:spacing w:before="0" w:after="0"/>
              <w:jc w:val="center"/>
              <w:rPr>
                <w:b/>
                <w:color w:val="0000FF"/>
              </w:rPr>
            </w:pPr>
            <w:r>
              <w:rPr>
                <w:b/>
                <w:color w:val="0000FF"/>
              </w:rPr>
              <w:t>DoubleDown Interactive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006" w:type="dxa"/>
            <w:tcBorders/>
            <w:vAlign w:val="center"/>
          </w:tcPr>
          <w:p>
            <w:pPr>
              <w:pStyle w:val="TableContents"/>
              <w:bidi w:val="0"/>
              <w:spacing w:before="0" w:after="0"/>
              <w:jc w:val="center"/>
              <w:rPr>
                <w:b/>
                <w:color w:val="0000FF"/>
              </w:rPr>
            </w:pPr>
            <w:r>
              <w:rPr>
                <w:b/>
                <w:color w:val="0000FF"/>
              </w:rPr>
              <w:t>American depositary shares, each representing 0.05 common share, par value W10,000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0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00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BRC Group Holdings,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81,668.60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81,668.60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81,668.60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based on 2,477,672 common shares outstanding according to the issuer's Form 6-K filed with the U.S. Securities and Exchange Commission on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BRF Investments,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79,522.70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79,522.70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79,522.70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based on 2,477,672 common shares outstanding according to the issuer's Form 6-K filed with the U.S. Securities and Exchange Commission on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 Riley Principal Investments,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312.30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312.30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312.30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based on 2,477,672 common shares outstanding according to the issuer's Form 6-K filed with the U.S. Securities and Exchange Commission on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 Riley Securities,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1,833.60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1,833.60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1,833.60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0.07 %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based on 2,477,672 common shares outstanding according to the issuer's Form 6-K filed with the U.S. Securities and Exchange Commission on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Bryant Riley</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8,470.70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81,668.80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8,470.70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81,668.80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90,139.50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3.64 %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based on 2,477,672 common shares outstanding according to the issuer's Form 6-K filed with the U.S. Securities and Exchange Commission on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DoubleDown Interactive Co., Ltd.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13F, Gangnam Finance Center, 152, Teheran-ro Gangnam-gu, Seoul, 06236, Republic of Korea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BRC Group Holdings, Inc., a Delaware corporation ("BRC"), BRF Investments, LLC, a Delaware limited liability company ("BRFI"), B. Riley Principal Investments, LLC, a Delaware limited liability company ("BRPI"), B. Riley Securities, Inc., a Delaware corporation ("BRS"), and Bryant Riley, an individual.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11100 Santa Monica Blvd. Suite 800, Los Angeles, CA 90025</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BRC, BRFI, BRPI and BRS are organized under the laws of the State of Delaware. Bryant Riley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0.05 common share, par value W10,000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As of the date hereof, BRFI directly owned 1,590,454 ADS, which represent 79,522.70 Common Shares. (2) As of the date hereof, BRPI directly owned 6,246 ADS, which represent 312.30 Common Shares. (3) As of the date hereof, BRS directly owned 36,672 ADS, which represent 1,833.60 Common Shares. (4) As of the date hereof, BRC as the parent company of BRFI and BRPI and the majority shareholder of B. Riley Securities Holdings, Inc. ("BRSH"), which is the parent of BRS, may be deemed to beneficially own 1,633,372 ADS, which represent 81,668.60 Common Shares, of which (a) 1,590,454 ADS, which represent 79,522.70 Common Shares, are held directly by BRFI in the manner specified in the paragraph (1) above, (b) 6,246 ADS, which represent 312.30 Common Shares, are held directly by BRPI in the manner specified in the paragraph (2) above and (c) 36,672 ADS, which represent 1,833.60 Common Shares, are held directly by BRS in the manner specified in the paragraph (3) above. (5) As of the date hereof, Bryant Riley may beneficially own 1,802,786 ADS, which represent 90,139.30 Common Shares, of which (a) 34,838 ADS, which represent 1,741.90 Common Shares, are held as sole custodian for the benefit of Abigail Riley, (b) 36,138 ADS, which represent 1,806.90 Common Shares, are held as sole custodian for the benefit of Charlie Riley, (c) 34,838 ADS, which represent 1,741.90 Common Shares, are held as sole custodian for the benefit of Eloise Riley, (d) 63,600 ADS, which represent 3,180.00 Common Shares, are held as sole custodian for the benefit of Susan Riley, (e) 1,590,454 ADS, which represent 79,522.70 Common Shares, are held directly by BRFI in the manner specified in the paragraph (1) above, (f) 6,246 ADS, which represent 312.30 Common Shares, are held directly by BRPI in the manner specified in the paragraph (2) above and (g) 36,672 ADS, which represent 1,833.60 Common Shares, are held directly by BRS in the manner specified in the paragraph (3) above.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to this Amendment is incorporated by reference herein.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to this Amendment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to this Amendment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to this Amendment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to this Amendment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BRFI and BRPI are subsidiaries of BRC. BRS is a wholly owned subsidiary BRSH. BRSH is majority owned by BRC.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BRC Group Holdings, Inc.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Bryant Riley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Bryant Riley/Co-Chief Executive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BRF Investments,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Bryant Riley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Bryant Riley/Authorized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B. Riley Principal Investments, LLC</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Bryant Riley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Bryant Riley/Authorized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B. Riley Securities, Inc.</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Frank Pigott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Frank Pigott/General Counsel and Secretary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Bryant Riley</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8"/>
        <w:gridCol w:w="4457"/>
      </w:tblGrid>
      <w:tr>
        <w:trPr/>
        <w:tc>
          <w:tcPr>
            <w:tcW w:w="57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Bryant Riley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Bryant Riley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1976</Words>
  <Characters>10344</Characters>
  <CharactersWithSpaces>12234</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