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006" w:type="dxa"/>
        <w:jc w:val="left"/>
        <w:tblInd w:w="0" w:type="dxa"/>
        <w:tblLayout w:type="fixed"/>
        <w:tblCellMar>
          <w:top w:w="28" w:type="dxa"/>
          <w:left w:w="28" w:type="dxa"/>
          <w:bottom w:w="28" w:type="dxa"/>
          <w:right w:w="28" w:type="dxa"/>
        </w:tblCellMar>
      </w:tblPr>
      <w:tblGrid>
        <w:gridCol w:w="10006"/>
      </w:tblGrid>
      <w:tr>
        <w:trPr/>
        <w:tc>
          <w:tcPr>
            <w:tcW w:w="1000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00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006" w:type="dxa"/>
            <w:tcBorders/>
            <w:vAlign w:val="center"/>
          </w:tcPr>
          <w:p>
            <w:pPr>
              <w:pStyle w:val="TableContents"/>
              <w:bidi w:val="0"/>
              <w:spacing w:before="0" w:after="0"/>
              <w:jc w:val="left"/>
              <w:rPr/>
            </w:pPr>
            <w:r>
              <w:rPr/>
              <w:t xml:space="preserve">UNDER THE SECURITIES EXCHANGE ACT OF 1934 </w:t>
            </w:r>
          </w:p>
        </w:tc>
      </w:tr>
      <w:tr>
        <w:trPr/>
        <w:tc>
          <w:tcPr>
            <w:tcW w:w="1000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10006" w:type="dxa"/>
            <w:tcBorders/>
            <w:vAlign w:val="center"/>
          </w:tcPr>
          <w:p>
            <w:pPr>
              <w:pStyle w:val="TableContents"/>
              <w:bidi w:val="0"/>
              <w:spacing w:before="0" w:after="0"/>
              <w:jc w:val="center"/>
              <w:rPr>
                <w:b/>
                <w:color w:val="0000FF"/>
              </w:rPr>
            </w:pPr>
            <w:r>
              <w:rPr>
                <w:b/>
                <w:color w:val="0000FF"/>
              </w:rPr>
              <w:t>DoubleDown Interactive Co.,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006" w:type="dxa"/>
            <w:tcBorders/>
            <w:vAlign w:val="center"/>
          </w:tcPr>
          <w:p>
            <w:pPr>
              <w:pStyle w:val="TableContents"/>
              <w:bidi w:val="0"/>
              <w:spacing w:before="0" w:after="0"/>
              <w:jc w:val="center"/>
              <w:rPr>
                <w:b/>
                <w:color w:val="0000FF"/>
              </w:rPr>
            </w:pPr>
            <w:r>
              <w:rPr>
                <w:b/>
                <w:color w:val="0000FF"/>
              </w:rPr>
              <w:t>American depositary shares, each representing 0.05 common share, par value W10,000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00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00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BRC Group Holdings,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173,375.45</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173,375.45</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173,375.45</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percentage is based on 2,477,672 common shares outstanding according to the issuer's Form 6-K filed with the U.S. Securities and Exchange Commission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BRF Investments,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169,538.40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169,538.40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169,538.40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percentage is based on 2,477,672 common shares outstanding according to the issuer's Form 6-K filed with the U.S. Securities and Exchange Commission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 Riley Principal Investments,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2,003.45</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2,003.45</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2,003.45</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percentage is based on 2,477,672 common shares outstanding according to the issuer's Form 6-K filed with the U.S. Securities and Exchange Commission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 Riley Securities, Inc.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1,833.60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1,833.60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1,833.60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percentage is based on 2,477,672 common shares outstanding according to the issuer's Form 6-K filed with the U.S. Securities and Exchange Commission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Bryant Riley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8,470.70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173,375.45</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8,470.70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173,375.45</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181,846.15</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percentage is based on 2,477,672 common shares outstanding according to the issuer's Form 6-K filed with the U.S. Securities and Exchange Commission on May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DoubleDown Interactive Co., Ltd.</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13F, Gangnam Finance Center, 152, Teheran-ro Gangnam-gu, Seoul, 06236, Republic of Korea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BRC Group Holdings, Inc., a Delaware corporation ("BRC"), BRF Investments, LLC, a Delaware limited liability company ("BRFI"), B. Riley Principal Investments, LLC, a Delaware limited liability company ("BRPI"), B. Riley Securities, Inc., a Delaware corporation ("BRS"), and Bryant Riley, an individual.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11100 Santa Monica Blvd. Suite 800, Los Angeles, CA 90025</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Citizenship: </w:t>
            </w:r>
          </w:p>
          <w:p>
            <w:pPr>
              <w:pStyle w:val="TableContents"/>
              <w:bidi w:val="0"/>
              <w:spacing w:before="0" w:after="0"/>
              <w:jc w:val="left"/>
              <w:rPr/>
            </w:pPr>
            <w:r>
              <w:rPr/>
              <w:t>BRC, BRFI, BRPI and BRS are organized under the laws of the State of Delaware. Bryant Riley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representing 0.05 common share, par value W10,000 per share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(g)</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(h)</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(j)</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(k)</w:t>
            </w:r>
          </w:p>
        </w:tc>
        <w:tc>
          <w:tcPr>
            <w:tcW w:w="888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9041" w:type="dxa"/>
            <w:gridSpan w:val="2"/>
            <w:tcBorders/>
            <w:vAlign w:val="center"/>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 As of the date hereof, BRFI directly owned 3,390,768 ADS, which represent 169,538.40 Common Shares. (2) As of the date hereof, BRPI directly owned 40,069 ADS, which represent 2,003.45 Common Shares. (3) As of the date hereof, BRS directly owned 36,672 ADS, which represent 1,833.60 Common Shares. (4) As of the date hereof, BRC as the parent company of BRFI and BRPI and the majority shareholder of B. Riley Securities Holdings, Inc. ("BRSH"), which is the parent of BRS, may be deemed to beneficially own 3,467,509 ADS, which represent 173,375.45 Common Shares, of which (a) 3,390,768 ADS, which represent 169,538.40 Common Shares, are held directly by BRFI in the manner specified in the paragraph (1) above, (b) 40,069 ADS, which represent 2,003.45 Common Shares, are held directly by BRPI in the manner specified in the paragraph (2) above and (c) 36,672 ADS, which represent 1,833.60 Common Shares, are held directly by BRS in the manner specified in the paragraph (3) above. (5) As of the date hereof, Bryant Riley may beneficially own 3,636,923 ADS, which represent 181,846.15 Common Shares, of which (a) 34,838 ADS, which represent 1,741.90 Common Shares, are held as sole custodian for the benefit of Abigail Riley, (b) 36,138 ADS, which represent 1,806.90 Common Shares, are held as sole custodian for the benefit of Charlie Riley, (c) 34,838 ADS, which represent 1,741.90 Common Shares, are held as sole custodian for the benefit of Eloise Riley, (d) 63,600 ADS, which represent 3,180.00 Common Shares, are held as sole custodian for the benefit of Susan Riley, (e) 3,390,768 ADS, which represent 169,538.40 Common Shares, are held directly by BRFI in the manner specified in the paragraph (1) above, (f) 40,069 ADS, which represent 2,003.45 Common Shares, are held directly by BRPI in the manner specified in the paragraph (2) above and (g) 36,672 ADS, which represent 1,833.60 Common Shares, are held directly by BRS in the manner specified in the paragraph (3) above.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contained on the cover pages to this Amendment is incorporated by reference herein.  %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contained on the cover pages to this Amendment is incorporated by reference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contained on the cover pages to this Amendment is incorporated by reference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contained on the cover pages to this Amendment is incorporated by reference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contained on the cover pages to this Amendment is incorporated by reference 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BRFI and BRPI are subsidiaries of BRC. BRS is a wholly owned subsidiary BRSH. BRSH is majority owned by BRC.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8.</w:t>
            </w:r>
          </w:p>
        </w:tc>
        <w:tc>
          <w:tcPr>
            <w:tcW w:w="888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9.</w:t>
            </w:r>
          </w:p>
        </w:tc>
        <w:tc>
          <w:tcPr>
            <w:tcW w:w="888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BRC Group Holdings, Inc.</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Bryant Riley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Bryant Riley/Co-Chief Executive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BRF Investments,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Bryant Riley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Bryant Riley/Authorized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7472" w:type="dxa"/>
        <w:jc w:val="left"/>
        <w:tblInd w:w="0" w:type="dxa"/>
        <w:tblLayout w:type="fixed"/>
        <w:tblCellMar>
          <w:top w:w="28" w:type="dxa"/>
          <w:left w:w="28" w:type="dxa"/>
          <w:bottom w:w="28" w:type="dxa"/>
          <w:right w:w="28" w:type="dxa"/>
        </w:tblCellMar>
      </w:tblPr>
      <w:tblGrid>
        <w:gridCol w:w="3736"/>
        <w:gridCol w:w="3736"/>
      </w:tblGrid>
      <w:tr>
        <w:trPr/>
        <w:tc>
          <w:tcPr>
            <w:tcW w:w="3736" w:type="dxa"/>
            <w:tcBorders/>
            <w:vAlign w:val="center"/>
          </w:tcPr>
          <w:p>
            <w:pPr>
              <w:pStyle w:val="TableContents"/>
              <w:bidi w:val="0"/>
              <w:spacing w:before="0" w:after="0"/>
              <w:jc w:val="left"/>
              <w:rPr/>
            </w:pPr>
            <w:r>
              <w:rPr/>
              <w:t> </w:t>
            </w:r>
          </w:p>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0"/>
                    <w:jc w:val="left"/>
                    <w:rPr/>
                  </w:pPr>
                  <w:r>
                    <w:rPr/>
                    <w:t>B. Riley Principal Investments, LLC</w:t>
                  </w:r>
                </w:p>
              </w:tc>
            </w:tr>
          </w:tbl>
          <w:p>
            <w:pPr>
              <w:pStyle w:val="TableContents"/>
              <w:bidi w:val="0"/>
              <w:spacing w:before="0" w:after="283"/>
              <w:jc w:val="left"/>
              <w:rPr/>
            </w:pPr>
            <w:r>
              <w:rPr/>
            </w:r>
          </w:p>
        </w:tc>
        <w:tc>
          <w:tcPr>
            <w:tcW w:w="37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Bryant Riley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Bryant Riley/Authorized Signatory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B. Riley Securities, Inc.</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Frank Pigott</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Frank Pigott/General Counsel and Secretary</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Bryant Riley</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8"/>
        <w:gridCol w:w="4457"/>
      </w:tblGrid>
      <w:tr>
        <w:trPr/>
        <w:tc>
          <w:tcPr>
            <w:tcW w:w="57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Bryant Riley</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Bryant Riley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7"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b/>
        </w:rPr>
      </w:pPr>
      <w:bookmarkStart w:id="32" w:name="ea028940601ex99-1.htm"/>
      <w:bookmarkStart w:id="33" w:name="ksea028940601ex991"/>
      <w:bookmarkEnd w:id="32"/>
      <w:bookmarkEnd w:id="33"/>
      <w:r>
        <w:rPr>
          <w:b/>
        </w:rPr>
        <w:t>Exhibit 99.1</w:t>
      </w:r>
      <w:r>
        <w:br w:type="page"/>
      </w:r>
    </w:p>
    <w:p>
      <w:pPr>
        <w:pStyle w:val="TextBody"/>
        <w:bidi w:val="0"/>
        <w:spacing w:before="0" w:after="283"/>
        <w:jc w:val="left"/>
        <w:rPr/>
      </w:pPr>
      <w:r>
        <w:rPr/>
        <w:t> </w:t>
      </w:r>
    </w:p>
    <w:tbl>
      <w:tblPr>
        <w:tblW w:w="7230" w:type="dxa"/>
        <w:jc w:val="left"/>
        <w:tblInd w:w="0" w:type="dxa"/>
        <w:tblLayout w:type="fixed"/>
        <w:tblCellMar>
          <w:top w:w="0" w:type="dxa"/>
          <w:left w:w="0" w:type="dxa"/>
          <w:bottom w:w="28" w:type="dxa"/>
          <w:right w:w="0" w:type="dxa"/>
        </w:tblCellMar>
      </w:tblPr>
      <w:tblGrid>
        <w:gridCol w:w="4190"/>
        <w:gridCol w:w="60"/>
        <w:gridCol w:w="1010"/>
        <w:gridCol w:w="60"/>
        <w:gridCol w:w="74"/>
        <w:gridCol w:w="786"/>
        <w:gridCol w:w="95"/>
        <w:gridCol w:w="60"/>
        <w:gridCol w:w="140"/>
        <w:gridCol w:w="680"/>
        <w:gridCol w:w="75"/>
      </w:tblGrid>
      <w:tr>
        <w:trPr/>
        <w:tc>
          <w:tcPr>
            <w:tcW w:w="4190" w:type="dxa"/>
            <w:tcBorders>
              <w:bottom w:val="single" w:sz="12" w:space="0" w:color="000000"/>
            </w:tcBorders>
            <w:vAlign w:val="center"/>
          </w:tcPr>
          <w:p>
            <w:pPr>
              <w:pStyle w:val="TableContents"/>
              <w:bidi w:val="0"/>
              <w:spacing w:before="0" w:after="283"/>
              <w:jc w:val="left"/>
              <w:rPr>
                <w:b/>
              </w:rPr>
            </w:pPr>
            <w:r>
              <w:rPr>
                <w:b/>
              </w:rPr>
              <w:t>Entity</w:t>
            </w:r>
          </w:p>
        </w:tc>
        <w:tc>
          <w:tcPr>
            <w:tcW w:w="60" w:type="dxa"/>
            <w:tcBorders/>
            <w:tcMar>
              <w:bottom w:w="0" w:type="dxa"/>
            </w:tcMar>
            <w:vAlign w:val="center"/>
          </w:tcPr>
          <w:p>
            <w:pPr>
              <w:pStyle w:val="TableContents"/>
              <w:bidi w:val="0"/>
              <w:spacing w:before="0" w:after="283"/>
              <w:jc w:val="left"/>
              <w:rPr/>
            </w:pPr>
            <w:r>
              <w:rPr/>
              <w:t> </w:t>
            </w:r>
          </w:p>
        </w:tc>
        <w:tc>
          <w:tcPr>
            <w:tcW w:w="1010" w:type="dxa"/>
            <w:tcBorders>
              <w:bottom w:val="single" w:sz="12" w:space="0" w:color="000000"/>
            </w:tcBorders>
            <w:vAlign w:val="center"/>
          </w:tcPr>
          <w:p>
            <w:pPr>
              <w:pStyle w:val="TableContents"/>
              <w:bidi w:val="0"/>
              <w:spacing w:before="0" w:after="283"/>
              <w:jc w:val="center"/>
              <w:rPr>
                <w:b/>
              </w:rPr>
            </w:pPr>
            <w:r>
              <w:rPr>
                <w:b/>
              </w:rPr>
              <w:t>Date</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Amount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bottom w:val="single" w:sz="12" w:space="0" w:color="000000"/>
            </w:tcBorders>
            <w:vAlign w:val="center"/>
          </w:tcPr>
          <w:p>
            <w:pPr>
              <w:pStyle w:val="TableContents"/>
              <w:bidi w:val="0"/>
              <w:spacing w:before="0" w:after="283"/>
              <w:jc w:val="center"/>
              <w:rPr>
                <w:b/>
              </w:rPr>
            </w:pPr>
            <w:r>
              <w:rPr>
                <w:b/>
              </w:rPr>
              <w:t>Price</w:t>
            </w:r>
          </w:p>
        </w:tc>
        <w:tc>
          <w:tcPr>
            <w:tcW w:w="75" w:type="dxa"/>
            <w:tcBorders/>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B. Riley Principal Investments,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pPr>
            <w:r>
              <w:rPr/>
              <w:t>22-Jan-26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786" w:type="dxa"/>
            <w:tcBorders/>
            <w:shd w:fill="CCEEFF" w:val="clear"/>
            <w:tcMar>
              <w:bottom w:w="0" w:type="dxa"/>
            </w:tcMar>
            <w:vAlign w:val="center"/>
          </w:tcPr>
          <w:p>
            <w:pPr>
              <w:pStyle w:val="TableContents"/>
              <w:bidi w:val="0"/>
              <w:spacing w:before="0" w:after="283"/>
              <w:jc w:val="right"/>
              <w:rPr/>
            </w:pPr>
            <w:r>
              <w:rPr/>
              <w:t>(2,406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9.0050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B. Riley Principal Investments,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pPr>
            <w:r>
              <w:rPr/>
              <w:t>26-Jan-26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786" w:type="dxa"/>
            <w:tcBorders/>
            <w:shd w:fill="FFFFFF" w:val="clear"/>
            <w:tcMar>
              <w:bottom w:w="0" w:type="dxa"/>
            </w:tcMar>
            <w:vAlign w:val="center"/>
          </w:tcPr>
          <w:p>
            <w:pPr>
              <w:pStyle w:val="TableContents"/>
              <w:bidi w:val="0"/>
              <w:spacing w:before="0" w:after="283"/>
              <w:jc w:val="right"/>
              <w:rPr/>
            </w:pPr>
            <w:r>
              <w:rPr/>
              <w:t>(7,448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9.0000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B. Riley Principal Investments,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pPr>
            <w:r>
              <w:rPr/>
              <w:t>27-Jan-26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786" w:type="dxa"/>
            <w:tcBorders/>
            <w:shd w:fill="CCEEFF" w:val="clear"/>
            <w:tcMar>
              <w:bottom w:w="0" w:type="dxa"/>
            </w:tcMar>
            <w:vAlign w:val="center"/>
          </w:tcPr>
          <w:p>
            <w:pPr>
              <w:pStyle w:val="TableContents"/>
              <w:bidi w:val="0"/>
              <w:spacing w:before="0" w:after="283"/>
              <w:jc w:val="right"/>
              <w:rPr/>
            </w:pPr>
            <w:r>
              <w:rPr/>
              <w:t>(1,258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9.0000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B. Riley Principal Investments,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pPr>
            <w:r>
              <w:rPr/>
              <w:t>28-Jan-26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786" w:type="dxa"/>
            <w:tcBorders/>
            <w:shd w:fill="FFFFFF" w:val="clear"/>
            <w:tcMar>
              <w:bottom w:w="0" w:type="dxa"/>
            </w:tcMar>
            <w:vAlign w:val="center"/>
          </w:tcPr>
          <w:p>
            <w:pPr>
              <w:pStyle w:val="TableContents"/>
              <w:bidi w:val="0"/>
              <w:spacing w:before="0" w:after="283"/>
              <w:jc w:val="right"/>
              <w:rPr/>
            </w:pPr>
            <w:r>
              <w:rPr/>
              <w:t>(400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9.0000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Bryant Riley C/F Abigail Riley UTMA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pPr>
            <w:r>
              <w:rPr/>
              <w:t>5-Feb-26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786" w:type="dxa"/>
            <w:tcBorders/>
            <w:shd w:fill="CCEEFF" w:val="clear"/>
            <w:tcMar>
              <w:bottom w:w="0" w:type="dxa"/>
            </w:tcMar>
            <w:vAlign w:val="center"/>
          </w:tcPr>
          <w:p>
            <w:pPr>
              <w:pStyle w:val="TableContents"/>
              <w:bidi w:val="0"/>
              <w:spacing w:before="0" w:after="283"/>
              <w:jc w:val="right"/>
              <w:rPr/>
            </w:pPr>
            <w:r>
              <w:rPr/>
              <w:t>1,500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8.4982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Bryant Riley C/F Charlie Riley UTMA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pPr>
            <w:r>
              <w:rPr/>
              <w:t>5-Feb-26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786" w:type="dxa"/>
            <w:tcBorders/>
            <w:shd w:fill="FFFFFF" w:val="clear"/>
            <w:tcMar>
              <w:bottom w:w="0" w:type="dxa"/>
            </w:tcMar>
            <w:vAlign w:val="center"/>
          </w:tcPr>
          <w:p>
            <w:pPr>
              <w:pStyle w:val="TableContents"/>
              <w:bidi w:val="0"/>
              <w:spacing w:before="0" w:after="283"/>
              <w:jc w:val="right"/>
              <w:rPr/>
            </w:pPr>
            <w:r>
              <w:rPr/>
              <w:t>1,500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8.4982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Bryant Riley C/F Eloise Riley UTMA 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pPr>
            <w:r>
              <w:rPr/>
              <w:t>5-Feb-26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786" w:type="dxa"/>
            <w:tcBorders/>
            <w:shd w:fill="CCEEFF" w:val="clear"/>
            <w:tcMar>
              <w:bottom w:w="0" w:type="dxa"/>
            </w:tcMar>
            <w:vAlign w:val="center"/>
          </w:tcPr>
          <w:p>
            <w:pPr>
              <w:pStyle w:val="TableContents"/>
              <w:bidi w:val="0"/>
              <w:spacing w:before="0" w:after="283"/>
              <w:jc w:val="right"/>
              <w:rPr/>
            </w:pPr>
            <w:r>
              <w:rPr/>
              <w:t>1,500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8.4982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190" w:type="dxa"/>
            <w:tcBorders/>
            <w:shd w:fill="FFFFFF" w:val="clear"/>
            <w:tcMar>
              <w:bottom w:w="0" w:type="dxa"/>
            </w:tcMar>
            <w:vAlign w:val="center"/>
          </w:tcPr>
          <w:p>
            <w:pPr>
              <w:pStyle w:val="TableContents"/>
              <w:bidi w:val="0"/>
              <w:spacing w:before="0" w:after="283"/>
              <w:jc w:val="left"/>
              <w:rPr/>
            </w:pPr>
            <w:r>
              <w:rPr/>
              <w:t>Bryant Riley C/F Susan Riley UTMA CA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10" w:type="dxa"/>
            <w:tcBorders/>
            <w:shd w:fill="FFFFFF" w:val="clear"/>
            <w:tcMar>
              <w:bottom w:w="0" w:type="dxa"/>
            </w:tcMar>
            <w:vAlign w:val="center"/>
          </w:tcPr>
          <w:p>
            <w:pPr>
              <w:pStyle w:val="TableContents"/>
              <w:bidi w:val="0"/>
              <w:spacing w:before="0" w:after="283"/>
              <w:jc w:val="center"/>
              <w:rPr/>
            </w:pPr>
            <w:r>
              <w:rPr/>
              <w:t>5-Feb-26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 w:type="dxa"/>
            <w:tcBorders/>
            <w:shd w:fill="FFFFFF" w:val="clear"/>
            <w:tcMar>
              <w:bottom w:w="0" w:type="dxa"/>
            </w:tcMar>
            <w:vAlign w:val="center"/>
          </w:tcPr>
          <w:p>
            <w:pPr>
              <w:pStyle w:val="TableContents"/>
              <w:bidi w:val="0"/>
              <w:spacing w:before="0" w:after="283"/>
              <w:jc w:val="left"/>
              <w:rPr/>
            </w:pPr>
            <w:r>
              <w:rPr/>
              <w:t> </w:t>
            </w:r>
          </w:p>
        </w:tc>
        <w:tc>
          <w:tcPr>
            <w:tcW w:w="786" w:type="dxa"/>
            <w:tcBorders/>
            <w:shd w:fill="FFFFFF" w:val="clear"/>
            <w:tcMar>
              <w:bottom w:w="0" w:type="dxa"/>
            </w:tcMar>
            <w:vAlign w:val="center"/>
          </w:tcPr>
          <w:p>
            <w:pPr>
              <w:pStyle w:val="TableContents"/>
              <w:bidi w:val="0"/>
              <w:spacing w:before="0" w:after="283"/>
              <w:jc w:val="right"/>
              <w:rPr/>
            </w:pPr>
            <w:r>
              <w:rPr/>
              <w:t>3,000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80" w:type="dxa"/>
            <w:tcBorders/>
            <w:shd w:fill="FFFFFF" w:val="clear"/>
            <w:tcMar>
              <w:bottom w:w="0" w:type="dxa"/>
            </w:tcMar>
            <w:vAlign w:val="center"/>
          </w:tcPr>
          <w:p>
            <w:pPr>
              <w:pStyle w:val="TableContents"/>
              <w:bidi w:val="0"/>
              <w:spacing w:before="0" w:after="283"/>
              <w:jc w:val="right"/>
              <w:rPr/>
            </w:pPr>
            <w:r>
              <w:rPr/>
              <w:t>8.4983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190" w:type="dxa"/>
            <w:tcBorders/>
            <w:shd w:fill="CCEEFF" w:val="clear"/>
            <w:tcMar>
              <w:bottom w:w="0" w:type="dxa"/>
            </w:tcMar>
            <w:vAlign w:val="center"/>
          </w:tcPr>
          <w:p>
            <w:pPr>
              <w:pStyle w:val="TableContents"/>
              <w:bidi w:val="0"/>
              <w:spacing w:before="0" w:after="283"/>
              <w:jc w:val="left"/>
              <w:rPr/>
            </w:pPr>
            <w:r>
              <w:rPr/>
              <w:t>B. Riley Principal Investments,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center"/>
              <w:rPr/>
            </w:pPr>
            <w:r>
              <w:rPr/>
              <w:t>11-Feb-26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 w:type="dxa"/>
            <w:tcBorders/>
            <w:shd w:fill="CCEEFF" w:val="clear"/>
            <w:tcMar>
              <w:bottom w:w="0" w:type="dxa"/>
            </w:tcMar>
            <w:vAlign w:val="center"/>
          </w:tcPr>
          <w:p>
            <w:pPr>
              <w:pStyle w:val="TableContents"/>
              <w:bidi w:val="0"/>
              <w:spacing w:before="0" w:after="283"/>
              <w:jc w:val="left"/>
              <w:rPr/>
            </w:pPr>
            <w:r>
              <w:rPr/>
              <w:t> </w:t>
            </w:r>
          </w:p>
        </w:tc>
        <w:tc>
          <w:tcPr>
            <w:tcW w:w="786" w:type="dxa"/>
            <w:tcBorders/>
            <w:shd w:fill="CCEEFF" w:val="clear"/>
            <w:tcMar>
              <w:bottom w:w="0" w:type="dxa"/>
            </w:tcMar>
            <w:vAlign w:val="center"/>
          </w:tcPr>
          <w:p>
            <w:pPr>
              <w:pStyle w:val="TableContents"/>
              <w:bidi w:val="0"/>
              <w:spacing w:before="0" w:after="283"/>
              <w:jc w:val="right"/>
              <w:rPr/>
            </w:pPr>
            <w:r>
              <w:rPr/>
              <w:t>1,581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8.0000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2066</Words>
  <Characters>10823</Characters>
  <CharactersWithSpaces>12802</CharactersWithSpaces>
  <Paragraphs>462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