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33" w:after="33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2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20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month of August,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001-39349</w:t>
      </w:r>
    </w:p>
    <w:p>
      <w:pPr>
        <w:pStyle w:val="TextBody"/>
        <w:bidi w:val="0"/>
        <w:spacing w:lineRule="auto" w:line="288" w:before="12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DoubleDown Interactive Co.,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(Translation of registrant’s name into English) </w:t>
      </w:r>
    </w:p>
    <w:p>
      <w:pPr>
        <w:pStyle w:val="TextBody"/>
        <w:bidi w:val="0"/>
        <w:spacing w:lineRule="auto" w:line="288" w:before="120" w:after="4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Joseph A. Sigrist,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 Double Down Interactive LLC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6671 S. Las Vegas Blvd.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D, Suite 210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Vegas, NV 89119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'+1-702-761-6899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120" w:after="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0" w:after="0"/>
        <w:jc w:val="left"/>
        <w:rPr/>
      </w:pP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Form 20-F 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Form40-F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33" w:after="33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CONTAINED IN THIS FORM 6-K REPORT </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Issuance of Press Release </w:t>
      </w:r>
    </w:p>
    <w:p>
      <w:pPr>
        <w:pStyle w:val="TextBody"/>
        <w:bidi w:val="0"/>
        <w:spacing w:lineRule="auto" w:line="288" w:before="120" w:after="283"/>
        <w:jc w:val="left"/>
        <w:rPr/>
      </w:pPr>
      <w:r>
        <w:rPr>
          <w:rFonts w:ascii="Times New Roman;serif" w:hAnsi="Times New Roman;serif"/>
          <w:b w:val="false"/>
          <w:color w:val="000000"/>
          <w:sz w:val="20"/>
        </w:rPr>
        <w:t>On August 11, 2026, DoubleDown Interactive Co., Ltd.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issued a press release announcing its unaudited financial results for the second quarter ended June 30, 2026, together with its unaudited condensed consolidated interim financial statements for the three and six months ended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report on Form 6-K is hereby incorporated by reference into the Company’s Registration Statement on Form F-3 (File No. 333-290402), to be a part thereof from the date on which this report is submitted, to the extent not superseded by documents or reports subsequently filed or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301"/>
        <w:gridCol w:w="263"/>
        <w:gridCol w:w="266"/>
        <w:gridCol w:w="109"/>
        <w:gridCol w:w="109"/>
        <w:gridCol w:w="109"/>
        <w:gridCol w:w="2663"/>
        <w:gridCol w:w="2627"/>
        <w:gridCol w:w="3758"/>
      </w:tblGrid>
      <w:tr>
        <w:trPr/>
        <w:tc>
          <w:tcPr>
            <w:tcW w:w="3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ddi-2026x08x11x6kxexx991.htm">
              <w:r>
                <w:rPr>
                  <w:rStyle w:val="InternetLink"/>
                  <w:rFonts w:ascii="Times New Roman;serif" w:hAnsi="Times New Roman;serif"/>
                  <w:b w:val="false"/>
                  <w:color w:val="0000FF"/>
                  <w:sz w:val="20"/>
                  <w:u w:val="single"/>
                </w:rPr>
                <w:t>Press release of the Company, dated August 11, 2026</w:t>
              </w:r>
            </w:hyperlink>
            <w:r>
              <w:rPr>
                <w:color w:val="0000EE"/>
                <w:u w:val="single"/>
              </w:rPr>
              <w:t xml:space="preserve"> </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ddi-20260630_d2.htm">
              <w:r>
                <w:rPr>
                  <w:rStyle w:val="InternetLink"/>
                  <w:rFonts w:ascii="Times New Roman;serif" w:hAnsi="Times New Roman;serif"/>
                  <w:b w:val="false"/>
                  <w:color w:val="0000EE"/>
                  <w:sz w:val="20"/>
                  <w:u w:val="single"/>
                </w:rPr>
                <w:t>Unaudited condensed consolidated interim financial statements of the Company for the three and six months ended June 30, 2026</w:t>
              </w:r>
            </w:hyperlink>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33" w:after="33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944" w:type="dxa"/>
        <w:jc w:val="left"/>
        <w:tblInd w:w="0" w:type="dxa"/>
        <w:tblLayout w:type="fixed"/>
        <w:tblCellMar>
          <w:top w:w="28" w:type="dxa"/>
          <w:left w:w="28" w:type="dxa"/>
          <w:bottom w:w="28" w:type="dxa"/>
          <w:right w:w="28" w:type="dxa"/>
        </w:tblCellMar>
      </w:tblPr>
      <w:tblGrid>
        <w:gridCol w:w="705"/>
        <w:gridCol w:w="621"/>
        <w:gridCol w:w="624"/>
        <w:gridCol w:w="415"/>
        <w:gridCol w:w="415"/>
        <w:gridCol w:w="415"/>
        <w:gridCol w:w="415"/>
        <w:gridCol w:w="415"/>
        <w:gridCol w:w="415"/>
        <w:gridCol w:w="732"/>
        <w:gridCol w:w="732"/>
        <w:gridCol w:w="104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DOUBLEDOWN INTERACTIVE CO., LTD.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Joseph A. Sigrist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Name: Joseph A. Sigrist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before="0" w:after="0"/>
        <w:jc w:val="left"/>
        <w:rPr/>
      </w:pPr>
      <w:r>
        <w:rPr/>
        <w:drawing>
          <wp:inline distT="0" distB="0" distL="0" distR="0">
            <wp:extent cx="2019300" cy="1266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19300" cy="12668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DoubleDown Interactive Second Quarter 2026 Revenue Rises 11.2% to $94.3 Million</w:t>
      </w:r>
    </w:p>
    <w:p>
      <w:pPr>
        <w:pStyle w:val="TextBody"/>
        <w:bidi w:val="0"/>
        <w:spacing w:lineRule="auto" w:line="288" w:before="120" w:after="283"/>
        <w:ind w:left="0" w:right="0" w:hanging="90"/>
        <w:jc w:val="center"/>
        <w:rPr/>
      </w:pPr>
      <w:r>
        <w:rPr>
          <w:rFonts w:ascii="Times New Roman;serif" w:hAnsi="Times New Roman;serif"/>
          <w:b/>
          <w:color w:val="000000"/>
          <w:sz w:val="20"/>
          <w:shd w:fill="FFFFFF" w:val="clear"/>
        </w:rPr>
        <w:t xml:space="preserve">and Earnings per Fully Diluted Common Share Increase </w:t>
      </w:r>
      <w:r>
        <w:rPr>
          <w:rFonts w:ascii="Times New Roman;serif" w:hAnsi="Times New Roman;serif"/>
          <w:b/>
          <w:color w:val="000000"/>
          <w:sz w:val="20"/>
        </w:rPr>
        <w:t>50.5%</w:t>
      </w:r>
      <w:r>
        <w:rPr>
          <w:color w:val="000000"/>
          <w:shd w:fill="FFFFFF" w:val="clear"/>
        </w:rPr>
        <w:t xml:space="preserve"> </w:t>
      </w:r>
      <w:r>
        <w:rPr>
          <w:rFonts w:ascii="Times New Roman;serif" w:hAnsi="Times New Roman;serif"/>
          <w:b/>
          <w:color w:val="000000"/>
          <w:sz w:val="20"/>
          <w:shd w:fill="FFFFFF" w:val="clear"/>
        </w:rPr>
        <w:t>to $13.27</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SEOUL, KOREA – August 11, 2026 — DoubleDown Interactive Co., Ltd. (NASDAQ: DDI) (“DoubleDown” or the “Company”), a leading developer and publisher of digital games on mobile and web-based platforms, today announced unaudited financial results for the second quarter ended June 30, 2026. </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Second Quarter 2026 vs. Second Quarter 2025 Summary:</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Revenue rose 11.2% to $94.3 million in the second quarter of 2026 compared to $84.8 million in the second quarter of 2025.</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Revenue from the Company’s social casino/free-to-play games was $77.3 million in the second quarter of 2026, an 11.5% increase from the second quarter of 2025. The increase was primarily due to contributions from WHOW Games GmbH (“WHOW Games”), which was acquired by the Company in July 2025.</w:t>
      </w:r>
    </w:p>
    <w:p>
      <w:pPr>
        <w:pStyle w:val="TextBody"/>
        <w:bidi w:val="0"/>
        <w:spacing w:lineRule="auto" w:line="268" w:before="0" w:after="0"/>
        <w:ind w:left="0" w:right="0" w:hanging="450"/>
        <w:jc w:val="left"/>
        <w:rPr/>
      </w:pPr>
      <w:r>
        <w:rPr>
          <w:color w:val="000000"/>
          <w:shd w:fill="FFFFFF" w:val="clear"/>
        </w:rPr>
        <w:t>◦</w:t>
      </w:r>
      <w:r>
        <w:rPr>
          <w:rFonts w:ascii="Times New Roman;serif" w:hAnsi="Times New Roman;serif"/>
          <w:b w:val="false"/>
          <w:color w:val="000000"/>
          <w:sz w:val="20"/>
          <w:shd w:fill="FFFFFF" w:val="clear"/>
        </w:rPr>
        <w:t>Direct-to-Consumer (“DTC”)</w:t>
      </w: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revenue rose to $40.5 million in the second quarter of 2026, compared to $10.7 million in the second quarter of 2025. DTC revenue as a percentage of total social casino revenue increased to 52.4% in the second quarter of 2026 from 15.4% in the second quarter of 2025.</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 xml:space="preserve">Revenue from SuprNation, the Company’s iGaming subsidiary, increased 9.8% year over year to $17.0 million, primarily as a result of the continued success of the Company’s newest brand, </w:t>
      </w:r>
      <w:r>
        <w:rPr>
          <w:rFonts w:ascii="Times New Roman;serif" w:hAnsi="Times New Roman;serif"/>
          <w:b w:val="false"/>
          <w:i/>
          <w:color w:val="000000"/>
          <w:sz w:val="20"/>
          <w:shd w:fill="FFFFFF" w:val="clear"/>
        </w:rPr>
        <w:t>Los Vegas</w:t>
      </w:r>
      <w:r>
        <w:rPr>
          <w:rFonts w:ascii="Times New Roman;serif" w:hAnsi="Times New Roman;serif"/>
          <w:b w:val="false"/>
          <w:color w:val="000000"/>
          <w:sz w:val="20"/>
          <w:shd w:fill="FFFFFF" w:val="clear"/>
        </w:rPr>
        <w:t>.</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Operating expenses were $57.8 million in the second quarter of 2026 compared to $52.4 million in the second quarter of 2025, primarily due to the inclusion of operating expenses of WHOW Games.</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 xml:space="preserve">Profit for the interim period (excluding non-controlling interest) rose 50.5% to $32.9 million, or earnings per fully diluted common share of $13.27 ($0.66 per American Depositary Share (“ADS”)), in the second quarter of 2026, compared to $21.8 million, or earnings per fully diluted common share of $8.82 ($0.44 per ADS), in the second quarter of 2025. </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The increase was primarily due to higher revenue, higher unrealized gain on foreign currency, and lower cost of revenue attributable to a higher proportion of DTC revenue, partially offset by higher overall operating expenses, which were primarily due to the inclusion of WHOW Games, and increased costs to support SuprNation’s revenue growth.</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Each ADS represents 0.05 share of a common share.</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Adjusted EBITDA rose 17.2% to $39.3 million for the second quarter of 2026, compared to $33.5 million in the second quarter of 2025. Adjusted EBITDA margin increased to 41.6% in the second quarter of 2026, compared to 39.5% in the second quarter of 2025.</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Beginning in the fourth quarter of 2025, social casino KPIs are inclusive of those from WHOW Games.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Payer Conversion ratio for the Company</w:t>
      </w:r>
      <w:r>
        <w:rPr>
          <w:color w:val="000000"/>
          <w:shd w:fill="FFFFFF" w:val="clear"/>
        </w:rPr>
        <w:t>’</w:t>
      </w:r>
      <w:r>
        <w:rPr>
          <w:rFonts w:ascii="Times New Roman;serif" w:hAnsi="Times New Roman;serif"/>
          <w:b w:val="false"/>
          <w:color w:val="000000"/>
          <w:sz w:val="20"/>
        </w:rPr>
        <w:t>s social casino/free-to-play games increased to 9.4% in the second quarter of 2026 from 7.0% in the second quarter of 2025, primarily as a result of the inclusion of WHOW Games, which has a higher Payer Conversion ratio.</w:t>
      </w:r>
    </w:p>
    <w:p>
      <w:pPr>
        <w:pStyle w:val="TextBody"/>
        <w:bidi w:val="0"/>
        <w:spacing w:lineRule="auto" w:line="276"/>
        <w:jc w:val="left"/>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Direct-to-Consumer revenue represents revenue from purchases made through Company-owned channels, including web storefront transactions and other direct payment flows.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Average Revenue Per Daily Active User (“ARPDAU”) for the Company’s social casino/free-to-play games increased to $1.42 in the second quarter of 2026 from $1.33 in the second quarter of 2025, primarily as a result of the inclusion of WHOW Games, which has a higher ARPDAU.</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Average monthly revenue per payer for the social casino/free-to-play games decreased to $218 in the second quarter of 2026 from $286 in the second quarter of 2025, primarily as a result of the inclusion of WHOW Games, which has a lower average revenue per payer.</w:t>
      </w:r>
    </w:p>
    <w:p>
      <w:pPr>
        <w:pStyle w:val="TextBody"/>
        <w:bidi w:val="0"/>
        <w:spacing w:lineRule="auto" w:line="288" w:before="120" w:after="283"/>
        <w:ind w:left="0" w:right="0" w:hanging="450"/>
        <w:jc w:val="left"/>
        <w:rPr/>
      </w:pPr>
      <w:r>
        <w:rPr>
          <w:color w:val="000000"/>
          <w:shd w:fill="FFFFFF" w:val="clear"/>
        </w:rPr>
        <w:t>•</w:t>
      </w:r>
      <w:r>
        <w:rPr>
          <w:rFonts w:ascii="Times New Roman;serif" w:hAnsi="Times New Roman;serif"/>
          <w:b w:val="false"/>
          <w:color w:val="000000"/>
          <w:sz w:val="20"/>
          <w:shd w:fill="FFFFFF" w:val="clear"/>
        </w:rPr>
        <w:t>Net cash flows from operating activities increased to $24.6 million in the second quarter of 2026 from $19.7 million in the second quarter of 2025. The increase is primarily due to lower income taxes paid.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"Our double-digit year-over-year revenue and adjusted EBITDA growth in the second quarter reflect our team</w:t>
      </w:r>
      <w:r>
        <w:rPr>
          <w:color w:val="000000"/>
          <w:shd w:fill="FFFFFF" w:val="clear"/>
        </w:rPr>
        <w:t>’</w:t>
      </w:r>
      <w:r>
        <w:rPr>
          <w:rFonts w:ascii="Times New Roman;serif" w:hAnsi="Times New Roman;serif"/>
          <w:b w:val="false"/>
          <w:color w:val="000000"/>
          <w:sz w:val="20"/>
        </w:rPr>
        <w:t>s continued focus on operational excellence," said In Keuk Kim, Chief Executive Officer of DoubleDown. "These strong quarterly results highlight ongoing growth in our Direct-to-Consumer segment, which now accounts for over 50% of total social casino revenue. Performance was driven by contributions from WHOW Games, solid growth in our core social casino business that we believe outpaced the broader market, and continued year-over-year momentum from SuprNation, our iGaming business, following the successful launch of our 'Los Vegas' brand.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consistently drive a high conversion of revenue to cash flow remains a top operating priority, resulting in $24.6 million of net cash flow from operations in the second quarter and a total of $71.0 million for the first half of 2026. As we look to the second half of 2026, we are well positioned to build upon our success. With an aggregate net cash position of $521 million, DoubleDown's strong balance sheet provides us with substantial financial flexibility to pursue strategic growth opportunities as well as additional value-building initiatives and transactions for our shareholders."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Summary Operating Results for DoubleDown Interactive (Unaudited) </w:t>
      </w:r>
    </w:p>
    <w:tbl>
      <w:tblPr>
        <w:tblW w:w="10205" w:type="dxa"/>
        <w:jc w:val="center"/>
        <w:tblInd w:w="0" w:type="dxa"/>
        <w:tblLayout w:type="fixed"/>
        <w:tblCellMar>
          <w:top w:w="28" w:type="dxa"/>
          <w:left w:w="28" w:type="dxa"/>
          <w:bottom w:w="28" w:type="dxa"/>
          <w:right w:w="28" w:type="dxa"/>
        </w:tblCellMar>
      </w:tblPr>
      <w:tblGrid>
        <w:gridCol w:w="1908"/>
        <w:gridCol w:w="1586"/>
        <w:gridCol w:w="1589"/>
        <w:gridCol w:w="260"/>
        <w:gridCol w:w="630"/>
        <w:gridCol w:w="334"/>
        <w:gridCol w:w="260"/>
        <w:gridCol w:w="630"/>
        <w:gridCol w:w="334"/>
        <w:gridCol w:w="109"/>
        <w:gridCol w:w="109"/>
        <w:gridCol w:w="109"/>
        <w:gridCol w:w="220"/>
        <w:gridCol w:w="644"/>
        <w:gridCol w:w="283"/>
        <w:gridCol w:w="220"/>
        <w:gridCol w:w="644"/>
        <w:gridCol w:w="336"/>
      </w:tblGrid>
      <w:tr>
        <w:trPr/>
        <w:tc>
          <w:tcPr>
            <w:tcW w:w="190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5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 MM)</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 MM)</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08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 (excluding non-controlling interest) ($ MM)</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 MM)</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margin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Non-financial performance metrics</w:t>
            </w:r>
            <w:r>
              <w:rPr>
                <w:rFonts w:ascii="Times New Roman;serif" w:hAnsi="Times New Roman;serif"/>
                <w:b w:val="false"/>
                <w:color w:val="000000"/>
                <w:sz w:val="13"/>
              </w:rPr>
              <w:t>(1)</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MAUs (000s)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DAUs (000s)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ARPDAU</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payer</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Payer conversion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Social casino/free-to-play games only. The KPIs for the three and six months ended June 30, 2026 in the table above are inclusive of WHOW Games, which was acquired on July 14, 2025.</w:t>
      </w:r>
    </w:p>
    <w:p>
      <w:pPr>
        <w:pStyle w:val="TextBody"/>
        <w:bidi w:val="0"/>
        <w:spacing w:before="200" w:after="283"/>
        <w:ind w:left="0" w:right="0" w:hanging="9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Update on Unsolicited Non-Binding Expression of Interest from Controlling Shareholder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refer you to our April 29, 2026 press release, in which we announced that the Company received a non-binding expression of interest from DoubleU Games Co. Ltd., our controlling shareholder, to acquire all of the outstanding common shares (including American Depositary Shares) not currently owned thereby, at a price of $11.25 per ADS in cash. We noted in that press release that the Company formed a special committee to evaluate and negotiate with the controlling shareholder and determine the next steps that would be in the best interests of the Company and its unaffiliated shareholders. As a result, while we appreciate there are many questions from our shareholders about this proposal, neither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nor its management intends to make any further announcements unless and until the Company or the special committee determine otherwise. The communications and inquiries received by the Company from shareholders are being forwarded to the special committee, which (in consultation with its legal and financial advisors) will evaluate as part of its ongoing review and evaluation process. The special committee will handle the proposal and there can be no assurance that a transaction will or will not occur and, if so, on what terms. Meanwhile, the Company continues to conduct its business and operations in the ordinary course.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Conference Call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DoubleDown will hold a conference call today (August 11, 2026) at 4:30 p.m. Eastern Time (1:30 p.m. Pacific Time) to discuss these results. A question-and-answer session will follow management’s presentation. </w:t>
      </w:r>
    </w:p>
    <w:p>
      <w:pPr>
        <w:pStyle w:val="TextBody"/>
        <w:bidi w:val="0"/>
        <w:spacing w:lineRule="auto" w:line="288" w:before="240" w:after="283"/>
        <w:jc w:val="left"/>
        <w:rPr/>
      </w:pPr>
      <w:r>
        <w:rPr>
          <w:rFonts w:ascii="Times New Roman;serif" w:hAnsi="Times New Roman;serif"/>
          <w:b w:val="false"/>
          <w:color w:val="000000"/>
          <w:sz w:val="20"/>
        </w:rPr>
        <w:t xml:space="preserve">To access the call, please use the following link: </w:t>
      </w:r>
      <w:r>
        <w:rPr>
          <w:rFonts w:ascii="Times New Roman;serif" w:hAnsi="Times New Roman;serif"/>
          <w:b w:val="false"/>
          <w:color w:val="000000"/>
          <w:sz w:val="20"/>
          <w:u w:val="single"/>
        </w:rPr>
        <w:t>DoubleDown Second Quarter 2026 Earnings Call</w:t>
      </w:r>
      <w:r>
        <w:rPr>
          <w:rFonts w:ascii="Times New Roman;serif" w:hAnsi="Times New Roman;serif"/>
          <w:b w:val="false"/>
          <w:color w:val="000000"/>
          <w:sz w:val="20"/>
        </w:rPr>
        <w:t xml:space="preserve">. After registering, an email will be sent, including dial-in details and a unique conference call access code required to join the live call. To ensure you are connected prior to the beginning of the call, please register a minimum of 15 minutes before the start of the call. </w:t>
      </w:r>
    </w:p>
    <w:p>
      <w:pPr>
        <w:pStyle w:val="TextBody"/>
        <w:bidi w:val="0"/>
        <w:spacing w:lineRule="auto" w:line="288" w:before="240" w:after="283"/>
        <w:jc w:val="left"/>
        <w:rPr/>
      </w:pPr>
      <w:r>
        <w:rPr>
          <w:rFonts w:ascii="Times New Roman;serif" w:hAnsi="Times New Roman;serif"/>
          <w:b w:val="false"/>
          <w:color w:val="000000"/>
          <w:sz w:val="20"/>
        </w:rPr>
        <w:t xml:space="preserve">A simultaneous webcast of the conference call will be available with the following link: </w:t>
      </w:r>
      <w:r>
        <w:rPr>
          <w:rFonts w:ascii="Times New Roman;serif" w:hAnsi="Times New Roman;serif"/>
          <w:b w:val="false"/>
          <w:color w:val="000000"/>
          <w:sz w:val="20"/>
          <w:u w:val="single"/>
        </w:rPr>
        <w:t>DoubleDown Second Quarter 2026 Earnings Webcast</w:t>
      </w:r>
      <w:r>
        <w:rPr>
          <w:rFonts w:ascii="Times New Roman;serif" w:hAnsi="Times New Roman;serif"/>
          <w:b w:val="false"/>
          <w:color w:val="000000"/>
          <w:sz w:val="20"/>
        </w:rPr>
        <w:t>, or via the Investor Relations page of the DoubleDown website at</w:t>
      </w:r>
      <w:r>
        <w:rPr>
          <w:color w:val="000000"/>
          <w:u w:val="single"/>
        </w:rPr>
        <w:t xml:space="preserve"> </w:t>
      </w:r>
      <w:r>
        <w:rPr>
          <w:rFonts w:ascii="Times New Roman;serif" w:hAnsi="Times New Roman;serif"/>
          <w:b w:val="false"/>
          <w:color w:val="000000"/>
          <w:sz w:val="20"/>
          <w:u w:val="single"/>
        </w:rPr>
        <w:t>ir.doubledowninteractive.com</w:t>
      </w:r>
      <w:r>
        <w:rPr>
          <w:rFonts w:ascii="Times New Roman;serif" w:hAnsi="Times New Roman;serif"/>
          <w:b w:val="false"/>
          <w:color w:val="000000"/>
          <w:sz w:val="20"/>
        </w:rPr>
        <w:t xml:space="preserve">. For those not planning to ask a question on the conference call, the Company recommends listening via the webcast. A replay will be available on the Company’s Investor Relations website shortly after the event. </w:t>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About DoubleDown Interactive </w:t>
      </w:r>
    </w:p>
    <w:p>
      <w:pPr>
        <w:pStyle w:val="TextBody"/>
        <w:bidi w:val="0"/>
        <w:spacing w:lineRule="auto" w:line="288" w:before="0" w:after="0"/>
        <w:jc w:val="left"/>
        <w:rPr/>
      </w:pPr>
      <w:r>
        <w:rPr>
          <w:rFonts w:ascii="Times New Roman;serif" w:hAnsi="Times New Roman;serif"/>
          <w:b w:val="false"/>
          <w:color w:val="000000"/>
          <w:sz w:val="20"/>
        </w:rPr>
        <w:t xml:space="preserve">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w:t>
      </w:r>
      <w:r>
        <w:rPr>
          <w:rFonts w:ascii="Times New Roman;serif" w:hAnsi="Times New Roman;serif"/>
          <w:b w:val="false"/>
          <w:i/>
          <w:color w:val="000000"/>
          <w:sz w:val="20"/>
        </w:rPr>
        <w:t>DoubleDown Casino</w:t>
      </w:r>
      <w:r>
        <w:rPr>
          <w:rFonts w:ascii="Times New Roman;serif" w:hAnsi="Times New Roman;serif"/>
          <w:b w:val="false"/>
          <w:color w:val="000000"/>
          <w:sz w:val="20"/>
        </w:rPr>
        <w:t>, has been a fan-favorite game on leading social and mobile platforms for years, entertaining millions of players worldwide with a lineup of classic and modern games. DoubleDown’s social casino platform was expanded with WHOW Games GmbH, a developer headquartered in Hamburg, Germany, acquired in 2025. The Company’s subsidiary, SuprNation, operates four real-money iGaming sites in Western Europe.</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Safe Harbor Statement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in this press release are “forward-looking statements” about future events and expectations for purposes of the safe harbor provisions under the United States Private Securities Litigation Reform Act of 1995. Forward-looking statements are based on our beliefs, assumptions, and expectations of industry trends, our future financial and operating performance, and our growth plans, taking into account the information currently available to us. These statements are not statements of historical fact.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Therefore, you should not place undue reliance on such statements. Words such as “anticipates,” “believes,” “continues,” “estimates,” “expects,” “goal,” “objectives,” “intends,” “may,” “opportunity,” “plans,” “potential,” “near-term,” long-term,” “projections,” “assumptions,” “projects,” “guidance,” “forecasts,” “outlook,” “target,” “trends,” “should,” “could,” “would,” “will,” and similar expressions are intended to identify such forward-looking statements. We qualify any forward-looking statements entirely by these cautionary factors. We assume no obligation to update or revise any forward-looking statements for any reason or to update the reasons actual results could differ materially from those anticipated in these forward-looking statements, even if new information becomes available in the future.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Use and Reconciliation of Non-IFRS Financial Measures </w:t>
      </w:r>
    </w:p>
    <w:p>
      <w:pPr>
        <w:pStyle w:val="TextBody"/>
        <w:bidi w:val="0"/>
        <w:spacing w:lineRule="auto" w:line="288" w:before="120" w:after="283"/>
        <w:jc w:val="left"/>
        <w:rPr/>
      </w:pPr>
      <w:r>
        <w:rPr>
          <w:rFonts w:ascii="Times New Roman;serif" w:hAnsi="Times New Roman;serif"/>
          <w:b w:val="false"/>
          <w:color w:val="000000"/>
          <w:sz w:val="20"/>
        </w:rPr>
        <w:t>In addition to our results determined in accordance with IFRS, we believe the following non-IFRS financial measure is useful in evaluating our operating performance. We present “</w:t>
      </w:r>
      <w:r>
        <w:rPr>
          <w:rFonts w:ascii="Times New Roman;serif" w:hAnsi="Times New Roman;serif"/>
          <w:b w:val="false"/>
          <w:i/>
          <w:color w:val="000000"/>
          <w:sz w:val="20"/>
        </w:rPr>
        <w:t>adjusted earnings before interest, taxes, depreciation and amortization</w:t>
      </w:r>
      <w:r>
        <w:rPr>
          <w:color w:val="000000"/>
        </w:rPr>
        <w:t xml:space="preserve">” </w:t>
      </w:r>
      <w:r>
        <w:rPr>
          <w:rFonts w:ascii="Times New Roman;serif" w:hAnsi="Times New Roman;serif"/>
          <w:b w:val="false"/>
          <w:color w:val="000000"/>
          <w:sz w:val="20"/>
        </w:rPr>
        <w:t xml:space="preserve">(“Adjusted EBITDA”) because we believe it assists investors and analysts by facilitating comparison of period-to-period operational performance on a consistent basis by excluding items that we do not believe are indicative of our core operating performance. The items excluded from the Adjusted EBITDA may have a material impact on our financial results. Certain of those items are non-recurring, while others are non-cash in nature. Accordingly, the Adjusted EBITDA is presented as supplemental disclosure and should not be considered in isolation of, as a substitute for, or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superior to, the financial information prepared in accordance with IFRS, and should be read in conjunction with the condensed consolidated interim financial statements furnished in our report on Form 6-K filed with the SEC.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our reconciliation from our reported IFRS “profit before income tax” to our Adjusted EBITDA, we eliminate the impact of the following four line items: (i) depreciation and amortization; (ii) finance income; (iii) finance cost; and (iv) other (income) expense. The below table sets forth the full reconciliation of our non-IFRS measures: </w:t>
      </w:r>
    </w:p>
    <w:tbl>
      <w:tblPr>
        <w:tblW w:w="8514" w:type="dxa"/>
        <w:jc w:val="center"/>
        <w:tblInd w:w="0" w:type="dxa"/>
        <w:tblLayout w:type="fixed"/>
        <w:tblCellMar>
          <w:top w:w="28" w:type="dxa"/>
          <w:left w:w="28" w:type="dxa"/>
          <w:bottom w:w="28" w:type="dxa"/>
          <w:right w:w="28" w:type="dxa"/>
        </w:tblCellMar>
      </w:tblPr>
      <w:tblGrid>
        <w:gridCol w:w="1178"/>
        <w:gridCol w:w="1036"/>
        <w:gridCol w:w="1041"/>
        <w:gridCol w:w="272"/>
        <w:gridCol w:w="660"/>
        <w:gridCol w:w="350"/>
        <w:gridCol w:w="272"/>
        <w:gridCol w:w="660"/>
        <w:gridCol w:w="350"/>
        <w:gridCol w:w="109"/>
        <w:gridCol w:w="109"/>
        <w:gridCol w:w="109"/>
        <w:gridCol w:w="246"/>
        <w:gridCol w:w="596"/>
        <w:gridCol w:w="316"/>
        <w:gridCol w:w="246"/>
        <w:gridCol w:w="596"/>
        <w:gridCol w:w="368"/>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non-IFRS measures</w:t>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millions, except percentages)</w:t>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key differences between reconciliations of Adjusted EBITDA and Adjusted EBITDA margin under IFRS and under GAAP arise from the treatment of certain adjustments, particularly in the areas of depreciation and amortization, finance income, and finance cost per the respective accounting standards. For reconciliation of Adjusted EBITDA and Adjusted EBITDA margin under IFRS, depreciation related to right-of-use assets is included within the depreciation and amortization, and as such, is added back to Adjusted EBITDA in the reconciliation. In contrast, for reconciliation of Adjusted EBITDA and Adjusted EBITDA margin under GAAP, depreciation related to right-of-use assets is classified under general and administrative expenses, and thus, is excluded from Adjusted EBITDA in the reconciliation. The designation of finance income and finance cost in reconciliation under IFRS reflects a change in the classification of non-operating (income) expense in reconciliation under GAAP. Specifically, the non-operating (income) expense accounts under GAAP have been renamed to finance income and finance cost under IFRS.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encourage investors and others to review our financial information in its entirety and not to rely on any single financial measure.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Company Contact: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Joe Sigrist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ir@doubledown.com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(702) 761-6899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https://www.doubledowninteractive.com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Investor Relations Contact: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Joseph Jaffoni and Christin Armacost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JCIR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(212) 835-8500</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DDI@jcir.com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DoubleDown Interactive Co.,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 of Financial Position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of U.S. dollars) </w:t>
      </w:r>
    </w:p>
    <w:p>
      <w:pPr>
        <w:pStyle w:val="TextBody"/>
        <w:bidi w:val="0"/>
        <w:spacing w:before="0" w:after="0"/>
        <w:jc w:val="center"/>
        <w:rPr/>
      </w:pPr>
      <w:r>
        <w:rPr/>
      </w:r>
    </w:p>
    <w:tbl>
      <w:tblPr>
        <w:tblW w:w="7846" w:type="dxa"/>
        <w:jc w:val="left"/>
        <w:tblInd w:w="0" w:type="dxa"/>
        <w:tblLayout w:type="fixed"/>
        <w:tblCellMar>
          <w:top w:w="28" w:type="dxa"/>
          <w:left w:w="28" w:type="dxa"/>
          <w:bottom w:w="28" w:type="dxa"/>
          <w:right w:w="28" w:type="dxa"/>
        </w:tblCellMar>
      </w:tblPr>
      <w:tblGrid>
        <w:gridCol w:w="1685"/>
        <w:gridCol w:w="1483"/>
        <w:gridCol w:w="1496"/>
        <w:gridCol w:w="109"/>
        <w:gridCol w:w="109"/>
        <w:gridCol w:w="211"/>
        <w:gridCol w:w="976"/>
        <w:gridCol w:w="109"/>
        <w:gridCol w:w="109"/>
        <w:gridCol w:w="109"/>
        <w:gridCol w:w="109"/>
        <w:gridCol w:w="211"/>
        <w:gridCol w:w="97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with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borrowings with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attributable to DoubleDown Interactive Co.,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DoubleDown Interactive Co.,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of U.S. dollars, except per share amounts) </w:t>
      </w:r>
    </w:p>
    <w:tbl>
      <w:tblPr>
        <w:tblW w:w="10167" w:type="dxa"/>
        <w:jc w:val="left"/>
        <w:tblInd w:w="0" w:type="dxa"/>
        <w:tblLayout w:type="fixed"/>
        <w:tblCellMar>
          <w:top w:w="28" w:type="dxa"/>
          <w:left w:w="28" w:type="dxa"/>
          <w:bottom w:w="28" w:type="dxa"/>
          <w:right w:w="28" w:type="dxa"/>
        </w:tblCellMar>
      </w:tblPr>
      <w:tblGrid>
        <w:gridCol w:w="1535"/>
        <w:gridCol w:w="1349"/>
        <w:gridCol w:w="1361"/>
        <w:gridCol w:w="109"/>
        <w:gridCol w:w="109"/>
        <w:gridCol w:w="211"/>
        <w:gridCol w:w="798"/>
        <w:gridCol w:w="109"/>
        <w:gridCol w:w="109"/>
        <w:gridCol w:w="109"/>
        <w:gridCol w:w="109"/>
        <w:gridCol w:w="211"/>
        <w:gridCol w:w="798"/>
        <w:gridCol w:w="109"/>
        <w:gridCol w:w="109"/>
        <w:gridCol w:w="109"/>
        <w:gridCol w:w="109"/>
        <w:gridCol w:w="211"/>
        <w:gridCol w:w="901"/>
        <w:gridCol w:w="109"/>
        <w:gridCol w:w="109"/>
        <w:gridCol w:w="109"/>
        <w:gridCol w:w="109"/>
        <w:gridCol w:w="211"/>
        <w:gridCol w:w="90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DDEBF7" w:val="clear"/>
              </w:rPr>
            </w:pPr>
            <w:r>
              <w:rPr>
                <w:rFonts w:ascii="Times New Roman;serif" w:hAnsi="Times New Roman;serif"/>
                <w:b w:val="false"/>
                <w:color w:val="000000"/>
                <w:sz w:val="20"/>
                <w:shd w:fill="DDEBF7" w:val="clear"/>
              </w:rPr>
              <w:t>Pension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income for the interim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Profit attributable to: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attributable to: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DoubleDown Interactive Co.,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of U.S. dollars) </w:t>
      </w:r>
    </w:p>
    <w:tbl>
      <w:tblPr>
        <w:tblW w:w="8536" w:type="dxa"/>
        <w:jc w:val="center"/>
        <w:tblInd w:w="0" w:type="dxa"/>
        <w:tblLayout w:type="fixed"/>
        <w:tblCellMar>
          <w:top w:w="28" w:type="dxa"/>
          <w:left w:w="28" w:type="dxa"/>
          <w:bottom w:w="28" w:type="dxa"/>
          <w:right w:w="28" w:type="dxa"/>
        </w:tblCellMar>
      </w:tblPr>
      <w:tblGrid>
        <w:gridCol w:w="2046"/>
        <w:gridCol w:w="1801"/>
        <w:gridCol w:w="1807"/>
        <w:gridCol w:w="109"/>
        <w:gridCol w:w="109"/>
        <w:gridCol w:w="211"/>
        <w:gridCol w:w="826"/>
        <w:gridCol w:w="109"/>
        <w:gridCol w:w="109"/>
        <w:gridCol w:w="109"/>
        <w:gridCol w:w="109"/>
        <w:gridCol w:w="211"/>
        <w:gridCol w:w="826"/>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profit to net 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financial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valuation of financial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severance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generated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inflow from operating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 of financial assets at fair value through profit or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of short-term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interim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interim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36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lineRule="auto" w:line="333" w:before="360" w:after="283"/>
        <w:jc w:val="left"/>
        <w:rPr>
          <w:rFonts w:ascii="Times New Roman;serif" w:hAnsi="Times New Roman;serif"/>
          <w:b/>
          <w:color w:val="000000"/>
          <w:sz w:val="24"/>
        </w:rPr>
      </w:pPr>
      <w:r>
        <w:rPr>
          <w:rFonts w:ascii="Times New Roman;serif" w:hAnsi="Times New Roman;serif"/>
          <w:b/>
          <w:color w:val="000000"/>
          <w:sz w:val="24"/>
        </w:rPr>
        <w:t>DoubleDown Interactive Co., Ltd.</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Condensed Consolidated Interim Financial Statements (Unaudited)</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As of and for the three and six months ended June 30, 2026 and 2025</w:t>
      </w:r>
    </w:p>
    <w:p>
      <w:pPr>
        <w:pStyle w:val="TextBody"/>
        <w:bidi w:val="0"/>
        <w:spacing w:lineRule="auto" w:line="333" w:before="280" w:after="283"/>
        <w:jc w:val="left"/>
        <w:rPr>
          <w:rFonts w:ascii="Times New Roman;serif" w:hAnsi="Times New Roman;serif"/>
          <w:b/>
          <w:color w:val="000000"/>
          <w:sz w:val="20"/>
        </w:rPr>
      </w:pPr>
      <w:r>
        <w:rPr>
          <w:rFonts w:ascii="Times New Roman;serif" w:hAnsi="Times New Roman;serif"/>
          <w:b/>
          <w:color w:val="000000"/>
          <w:sz w:val="20"/>
        </w:rPr>
        <w:t>Contents</w:t>
      </w:r>
    </w:p>
    <w:tbl>
      <w:tblPr>
        <w:tblW w:w="6014" w:type="dxa"/>
        <w:jc w:val="left"/>
        <w:tblInd w:w="0" w:type="dxa"/>
        <w:tblLayout w:type="fixed"/>
        <w:tblCellMar>
          <w:top w:w="28" w:type="dxa"/>
          <w:left w:w="28" w:type="dxa"/>
          <w:bottom w:w="28" w:type="dxa"/>
          <w:right w:w="28" w:type="dxa"/>
        </w:tblCellMar>
      </w:tblPr>
      <w:tblGrid>
        <w:gridCol w:w="2025"/>
        <w:gridCol w:w="1780"/>
        <w:gridCol w:w="1789"/>
        <w:gridCol w:w="123"/>
        <w:gridCol w:w="123"/>
        <w:gridCol w:w="174"/>
      </w:tblGrid>
      <w:tr>
        <w:trPr/>
        <w:tc>
          <w:tcPr>
            <w:tcW w:w="202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8a08e522264eef80c13d0cf8993ed7_4">
              <w:r>
                <w:rPr>
                  <w:rStyle w:val="InternetLink"/>
                  <w:rFonts w:ascii="Times New Roman;serif" w:hAnsi="Times New Roman;serif"/>
                  <w:b w:val="false"/>
                  <w:color w:val="0000FF"/>
                  <w:sz w:val="20"/>
                  <w:u w:val="single"/>
                </w:rPr>
                <w:t>Consolidated Interim Statements of Financial Position</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608a08e522264eef80c13d0cf8993ed7_4">
              <w:r>
                <w:rPr>
                  <w:rStyle w:val="InternetLink"/>
                  <w:rFonts w:ascii="Times New Roman;serif" w:hAnsi="Times New Roman;serif"/>
                  <w:b w:val="false"/>
                  <w:strike w:val="false"/>
                  <w:dstrike w:val="false"/>
                  <w:color w:val="000000"/>
                  <w:sz w:val="20"/>
                  <w:u w:val="none"/>
                  <w:effect w:val="none"/>
                </w:rPr>
                <w:t>2</w:t>
              </w:r>
            </w:hyperlink>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8a08e522264eef80c13d0cf8993ed7_7">
              <w:r>
                <w:rPr>
                  <w:rStyle w:val="InternetLink"/>
                  <w:rFonts w:ascii="Times New Roman;serif" w:hAnsi="Times New Roman;serif"/>
                  <w:b w:val="false"/>
                  <w:color w:val="0000FF"/>
                  <w:sz w:val="20"/>
                  <w:u w:val="single"/>
                </w:rPr>
                <w:t>Consolidated</w:t>
              </w:r>
            </w:hyperlink>
            <w:hyperlink w:anchor="i608a08e522264eef80c13d0cf8993ed7_7">
              <w:r>
                <w:rPr>
                  <w:rStyle w:val="InternetLink"/>
                  <w:color w:val="0000FF"/>
                  <w:u w:val="single"/>
                </w:rPr>
                <w:t xml:space="preserve"> </w:t>
              </w:r>
            </w:hyperlink>
            <w:hyperlink w:anchor="i608a08e522264eef80c13d0cf8993ed7_7">
              <w:r>
                <w:rPr>
                  <w:rStyle w:val="InternetLink"/>
                  <w:rFonts w:ascii="Times New Roman;serif" w:hAnsi="Times New Roman;serif"/>
                  <w:b w:val="false"/>
                  <w:color w:val="0000FF"/>
                  <w:sz w:val="20"/>
                  <w:u w:val="single"/>
                </w:rPr>
                <w:t>Interim Statements of Comprehensive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608a08e522264eef80c13d0cf8993ed7_7">
              <w:r>
                <w:rPr>
                  <w:rStyle w:val="InternetLink"/>
                  <w:rFonts w:ascii="Times New Roman;serif" w:hAnsi="Times New Roman;serif"/>
                  <w:b w:val="false"/>
                  <w:strike w:val="false"/>
                  <w:dstrike w:val="false"/>
                  <w:color w:val="000000"/>
                  <w:sz w:val="20"/>
                  <w:u w:val="none"/>
                  <w:effect w:val="none"/>
                </w:rPr>
                <w:t>3</w:t>
              </w:r>
            </w:hyperlink>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8a08e522264eef80c13d0cf8993ed7_10">
              <w:r>
                <w:rPr>
                  <w:rStyle w:val="InternetLink"/>
                  <w:rFonts w:ascii="Times New Roman;serif" w:hAnsi="Times New Roman;serif"/>
                  <w:b w:val="false"/>
                  <w:color w:val="0000FF"/>
                  <w:sz w:val="20"/>
                  <w:u w:val="single"/>
                </w:rPr>
                <w:t>Consolidated</w:t>
              </w:r>
            </w:hyperlink>
            <w:hyperlink w:anchor="i608a08e522264eef80c13d0cf8993ed7_10">
              <w:r>
                <w:rPr>
                  <w:rStyle w:val="InternetLink"/>
                  <w:color w:val="0000FF"/>
                  <w:u w:val="single"/>
                </w:rPr>
                <w:t xml:space="preserve"> </w:t>
              </w:r>
            </w:hyperlink>
            <w:hyperlink w:anchor="i608a08e522264eef80c13d0cf8993ed7_10">
              <w:r>
                <w:rPr>
                  <w:rStyle w:val="InternetLink"/>
                  <w:rFonts w:ascii="Times New Roman;serif" w:hAnsi="Times New Roman;serif"/>
                  <w:b w:val="false"/>
                  <w:color w:val="0000FF"/>
                  <w:sz w:val="20"/>
                  <w:u w:val="single"/>
                </w:rPr>
                <w:t xml:space="preserve">Interim </w:t>
              </w:r>
            </w:hyperlink>
            <w:hyperlink w:anchor="i608a08e522264eef80c13d0cf8993ed7_10">
              <w:r>
                <w:rPr>
                  <w:rStyle w:val="InternetLink"/>
                  <w:rFonts w:ascii="Times New Roman;serif" w:hAnsi="Times New Roman;serif"/>
                  <w:b w:val="false"/>
                  <w:color w:val="000080"/>
                  <w:sz w:val="20"/>
                  <w:u w:val="single"/>
                </w:rPr>
                <w:t>Statements</w:t>
              </w:r>
            </w:hyperlink>
            <w:hyperlink w:anchor="i608a08e522264eef80c13d0cf8993ed7_10">
              <w:r>
                <w:rPr>
                  <w:rStyle w:val="InternetLink"/>
                  <w:color w:val="0000FF"/>
                  <w:u w:val="single"/>
                </w:rPr>
                <w:t xml:space="preserve"> </w:t>
              </w:r>
            </w:hyperlink>
            <w:hyperlink w:anchor="i608a08e522264eef80c13d0cf8993ed7_10">
              <w:r>
                <w:rPr>
                  <w:rStyle w:val="InternetLink"/>
                  <w:rFonts w:ascii="Times New Roman;serif" w:hAnsi="Times New Roman;serif"/>
                  <w:b w:val="false"/>
                  <w:color w:val="0000FF"/>
                  <w:sz w:val="20"/>
                  <w:u w:val="single"/>
                </w:rPr>
                <w:t>of Changes in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608a08e522264eef80c13d0cf8993ed7_10">
              <w:r>
                <w:rPr>
                  <w:rStyle w:val="InternetLink"/>
                  <w:rFonts w:ascii="Times New Roman;serif" w:hAnsi="Times New Roman;serif"/>
                  <w:b w:val="false"/>
                  <w:strike w:val="false"/>
                  <w:dstrike w:val="false"/>
                  <w:color w:val="000000"/>
                  <w:sz w:val="20"/>
                  <w:u w:val="none"/>
                  <w:effect w:val="none"/>
                </w:rPr>
                <w:t>4</w:t>
              </w:r>
            </w:hyperlink>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8a08e522264eef80c13d0cf8993ed7_13">
              <w:r>
                <w:rPr>
                  <w:rStyle w:val="InternetLink"/>
                  <w:rFonts w:ascii="Times New Roman;serif" w:hAnsi="Times New Roman;serif"/>
                  <w:b w:val="false"/>
                  <w:color w:val="0000FF"/>
                  <w:sz w:val="20"/>
                  <w:u w:val="single"/>
                </w:rPr>
                <w:t>Consolidated</w:t>
              </w:r>
            </w:hyperlink>
            <w:hyperlink w:anchor="i608a08e522264eef80c13d0cf8993ed7_13">
              <w:r>
                <w:rPr>
                  <w:rStyle w:val="InternetLink"/>
                  <w:color w:val="0000FF"/>
                  <w:u w:val="single"/>
                </w:rPr>
                <w:t xml:space="preserve"> </w:t>
              </w:r>
            </w:hyperlink>
            <w:hyperlink w:anchor="i608a08e522264eef80c13d0cf8993ed7_13">
              <w:r>
                <w:rPr>
                  <w:rStyle w:val="InternetLink"/>
                  <w:rFonts w:ascii="Times New Roman;serif" w:hAnsi="Times New Roman;serif"/>
                  <w:b w:val="false"/>
                  <w:color w:val="0000FF"/>
                  <w:sz w:val="20"/>
                  <w:u w:val="single"/>
                </w:rPr>
                <w:t xml:space="preserve">Interim </w:t>
              </w:r>
            </w:hyperlink>
            <w:hyperlink w:anchor="i608a08e522264eef80c13d0cf8993ed7_13">
              <w:r>
                <w:rPr>
                  <w:rStyle w:val="InternetLink"/>
                  <w:rFonts w:ascii="Times New Roman;serif" w:hAnsi="Times New Roman;serif"/>
                  <w:b w:val="false"/>
                  <w:color w:val="000080"/>
                  <w:sz w:val="20"/>
                  <w:u w:val="single"/>
                </w:rPr>
                <w:t>Statements</w:t>
              </w:r>
            </w:hyperlink>
            <w:hyperlink w:anchor="i608a08e522264eef80c13d0cf8993ed7_13">
              <w:r>
                <w:rPr>
                  <w:rStyle w:val="InternetLink"/>
                  <w:color w:val="0000FF"/>
                  <w:u w:val="single"/>
                </w:rPr>
                <w:t xml:space="preserve"> </w:t>
              </w:r>
            </w:hyperlink>
            <w:hyperlink w:anchor="i608a08e522264eef80c13d0cf8993ed7_13">
              <w:r>
                <w:rPr>
                  <w:rStyle w:val="InternetLink"/>
                  <w:rFonts w:ascii="Times New Roman;serif" w:hAnsi="Times New Roman;serif"/>
                  <w:b w:val="false"/>
                  <w:color w:val="0000FF"/>
                  <w:sz w:val="20"/>
                  <w:u w:val="single"/>
                </w:rPr>
                <w:t>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608a08e522264eef80c13d0cf8993ed7_13">
              <w:r>
                <w:rPr>
                  <w:rStyle w:val="InternetLink"/>
                  <w:rFonts w:ascii="Times New Roman;serif" w:hAnsi="Times New Roman;serif"/>
                  <w:b w:val="false"/>
                  <w:strike w:val="false"/>
                  <w:dstrike w:val="false"/>
                  <w:color w:val="000000"/>
                  <w:sz w:val="20"/>
                  <w:u w:val="none"/>
                  <w:effect w:val="none"/>
                </w:rPr>
                <w:t>5</w:t>
              </w:r>
            </w:hyperlink>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8a08e522264eef80c13d0cf8993ed7_16">
              <w:r>
                <w:rPr>
                  <w:rStyle w:val="InternetLink"/>
                  <w:rFonts w:ascii="Times New Roman;serif" w:hAnsi="Times New Roman;serif"/>
                  <w:b w:val="false"/>
                  <w:color w:val="0000FF"/>
                  <w:sz w:val="20"/>
                  <w:u w:val="single"/>
                </w:rPr>
                <w:t>Notes to the Condensed Consolidated Interim</w:t>
              </w:r>
            </w:hyperlink>
            <w:hyperlink w:anchor="i608a08e522264eef80c13d0cf8993ed7_16">
              <w:r>
                <w:rPr>
                  <w:rStyle w:val="InternetLink"/>
                  <w:color w:val="0000FF"/>
                  <w:u w:val="single"/>
                </w:rPr>
                <w:t xml:space="preserve"> </w:t>
              </w:r>
            </w:hyperlink>
            <w:hyperlink w:anchor="i608a08e522264eef80c13d0cf8993ed7_16">
              <w:r>
                <w:rPr>
                  <w:rStyle w:val="InternetLink"/>
                  <w:rFonts w:ascii="Times New Roman;serif" w:hAnsi="Times New Roman;serif"/>
                  <w:b w:val="false"/>
                  <w:color w:val="0000FF"/>
                  <w:sz w:val="20"/>
                  <w:u w:val="single"/>
                </w:rPr>
                <w:t>Financial</w:t>
              </w:r>
            </w:hyperlink>
            <w:hyperlink w:anchor="i608a08e522264eef80c13d0cf8993ed7_16">
              <w:r>
                <w:rPr>
                  <w:rStyle w:val="InternetLink"/>
                  <w:color w:val="0000FF"/>
                  <w:u w:val="single"/>
                </w:rPr>
                <w:t xml:space="preserve"> </w:t>
              </w:r>
            </w:hyperlink>
            <w:hyperlink w:anchor="i608a08e522264eef80c13d0cf8993ed7_16">
              <w:r>
                <w:rPr>
                  <w:rStyle w:val="InternetLink"/>
                  <w:rFonts w:ascii="Times New Roman;serif" w:hAnsi="Times New Roman;serif"/>
                  <w:b w:val="false"/>
                  <w:color w:val="0000FF"/>
                  <w:sz w:val="20"/>
                  <w:u w:val="single"/>
                </w:rPr>
                <w:t>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w:t>
            </w:r>
            <w:hyperlink w:anchor="i608a08e522264eef80c13d0cf8993ed7_16">
              <w:r>
                <w:rPr>
                  <w:rStyle w:val="InternetLink"/>
                  <w:rFonts w:ascii="Times New Roman;serif" w:hAnsi="Times New Roman;serif"/>
                  <w:b w:val="false"/>
                  <w:strike w:val="false"/>
                  <w:dstrike w:val="false"/>
                  <w:color w:val="000000"/>
                  <w:sz w:val="20"/>
                  <w:u w:val="none"/>
                  <w:effect w:val="none"/>
                </w:rPr>
                <w:t>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Consolidated Interim Statements of Financial Position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 thousands of U.S. dollars)</w:t>
      </w:r>
    </w:p>
    <w:tbl>
      <w:tblPr>
        <w:tblW w:w="8571" w:type="dxa"/>
        <w:jc w:val="left"/>
        <w:tblInd w:w="0" w:type="dxa"/>
        <w:tblLayout w:type="fixed"/>
        <w:tblCellMar>
          <w:top w:w="28" w:type="dxa"/>
          <w:left w:w="28" w:type="dxa"/>
          <w:bottom w:w="28" w:type="dxa"/>
          <w:right w:w="28" w:type="dxa"/>
        </w:tblCellMar>
      </w:tblPr>
      <w:tblGrid>
        <w:gridCol w:w="1685"/>
        <w:gridCol w:w="1483"/>
        <w:gridCol w:w="1496"/>
        <w:gridCol w:w="204"/>
        <w:gridCol w:w="204"/>
        <w:gridCol w:w="208"/>
        <w:gridCol w:w="109"/>
        <w:gridCol w:w="109"/>
        <w:gridCol w:w="109"/>
        <w:gridCol w:w="211"/>
        <w:gridCol w:w="976"/>
        <w:gridCol w:w="109"/>
        <w:gridCol w:w="109"/>
        <w:gridCol w:w="109"/>
        <w:gridCol w:w="109"/>
        <w:gridCol w:w="211"/>
        <w:gridCol w:w="97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with related party</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borrowings with related party</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comprehensive loss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attributable to DoubleDown Interactive Co., Ltd.</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Consolidated Interim Statements of Comprehensive Income</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(Unaudited, in thousands of U.S. dollars, except per share amounts) </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389"/>
        <w:gridCol w:w="1127"/>
        <w:gridCol w:w="1137"/>
        <w:gridCol w:w="190"/>
        <w:gridCol w:w="190"/>
        <w:gridCol w:w="191"/>
        <w:gridCol w:w="109"/>
        <w:gridCol w:w="109"/>
        <w:gridCol w:w="109"/>
        <w:gridCol w:w="211"/>
        <w:gridCol w:w="784"/>
        <w:gridCol w:w="109"/>
        <w:gridCol w:w="109"/>
        <w:gridCol w:w="109"/>
        <w:gridCol w:w="109"/>
        <w:gridCol w:w="211"/>
        <w:gridCol w:w="784"/>
        <w:gridCol w:w="109"/>
        <w:gridCol w:w="109"/>
        <w:gridCol w:w="109"/>
        <w:gridCol w:w="109"/>
        <w:gridCol w:w="211"/>
        <w:gridCol w:w="888"/>
        <w:gridCol w:w="109"/>
        <w:gridCol w:w="109"/>
        <w:gridCol w:w="109"/>
        <w:gridCol w:w="109"/>
        <w:gridCol w:w="211"/>
        <w:gridCol w:w="888"/>
        <w:gridCol w:w="158"/>
      </w:tblGrid>
      <w:tr>
        <w:trPr/>
        <w:tc>
          <w:tcPr>
            <w:tcW w:w="138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color w:val="000000"/>
              </w:rPr>
              <w:t xml:space="preserve">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cost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DDEBF7" w:val="clear"/>
              </w:rPr>
            </w:pPr>
            <w:r>
              <w:rPr>
                <w:rFonts w:ascii="Times New Roman;serif" w:hAnsi="Times New Roman;serif"/>
                <w:b w:val="false"/>
                <w:color w:val="000000"/>
                <w:sz w:val="20"/>
                <w:shd w:fill="DDEBF7" w:val="clear"/>
              </w:rPr>
              <w:t>Pension adjustments, net of tax</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income for the interim period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Profit attributable to: </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attributable to: </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DoubleDown Interactive Co., Ltd.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Consolidated Interim Statements of Changes in Equity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 thousands of U.S. dollars)</w:t>
      </w:r>
    </w:p>
    <w:tbl>
      <w:tblPr>
        <w:tblW w:w="12208" w:type="dxa"/>
        <w:jc w:val="left"/>
        <w:tblInd w:w="0" w:type="dxa"/>
        <w:tblLayout w:type="fixed"/>
        <w:tblCellMar>
          <w:top w:w="28" w:type="dxa"/>
          <w:left w:w="28" w:type="dxa"/>
          <w:bottom w:w="28" w:type="dxa"/>
          <w:right w:w="28" w:type="dxa"/>
        </w:tblCellMar>
      </w:tblPr>
      <w:tblGrid>
        <w:gridCol w:w="679"/>
        <w:gridCol w:w="312"/>
        <w:gridCol w:w="240"/>
        <w:gridCol w:w="180"/>
        <w:gridCol w:w="180"/>
        <w:gridCol w:w="181"/>
        <w:gridCol w:w="109"/>
        <w:gridCol w:w="109"/>
        <w:gridCol w:w="109"/>
        <w:gridCol w:w="211"/>
        <w:gridCol w:w="721"/>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976"/>
        <w:gridCol w:w="109"/>
        <w:gridCol w:w="109"/>
        <w:gridCol w:w="109"/>
        <w:gridCol w:w="109"/>
        <w:gridCol w:w="249"/>
        <w:gridCol w:w="551"/>
        <w:gridCol w:w="131"/>
        <w:gridCol w:w="109"/>
        <w:gridCol w:w="109"/>
        <w:gridCol w:w="109"/>
        <w:gridCol w:w="211"/>
        <w:gridCol w:w="97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Attributable to DoubleDown Interactive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w:t>
              <w:br/>
              <w:t>premium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 -</w:t>
              <w:br/>
              <w:t>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2025</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for the interim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Profit for the interim period</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Sub-total of comprehensive income (loss) for the interim period</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(unaudited)</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with owners, recognized directly in equity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of January 1, 2026</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for the interim period</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Profit for the interim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Sub-total of comprehensive income (loss) for the interim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(unaudited)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68" w:before="0" w:after="24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Consolidated Interim Statements of Cash Flows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in thousands of U.S. dollars)</w:t>
      </w:r>
    </w:p>
    <w:tbl>
      <w:tblPr>
        <w:tblW w:w="9516" w:type="dxa"/>
        <w:jc w:val="left"/>
        <w:tblInd w:w="0" w:type="dxa"/>
        <w:tblLayout w:type="fixed"/>
        <w:tblCellMar>
          <w:top w:w="28" w:type="dxa"/>
          <w:left w:w="28" w:type="dxa"/>
          <w:bottom w:w="28" w:type="dxa"/>
          <w:right w:w="28" w:type="dxa"/>
        </w:tblCellMar>
      </w:tblPr>
      <w:tblGrid>
        <w:gridCol w:w="2046"/>
        <w:gridCol w:w="1801"/>
        <w:gridCol w:w="1807"/>
        <w:gridCol w:w="289"/>
        <w:gridCol w:w="289"/>
        <w:gridCol w:w="293"/>
        <w:gridCol w:w="109"/>
        <w:gridCol w:w="109"/>
        <w:gridCol w:w="109"/>
        <w:gridCol w:w="211"/>
        <w:gridCol w:w="826"/>
        <w:gridCol w:w="109"/>
        <w:gridCol w:w="109"/>
        <w:gridCol w:w="109"/>
        <w:gridCol w:w="109"/>
        <w:gridCol w:w="211"/>
        <w:gridCol w:w="826"/>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for the interim period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profit to net cash from operating activities: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transaction</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transaction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financial assets and liabilities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valuation of financial assets and liabilities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severance benefits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employee benefits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adjustments: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generated from operations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inflow from operating activities </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Disposal of property and equipment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Disposal of financial assets at fair value through profit or loss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of short-term investment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investing activities </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lease liabilities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(outflow) from financing activities </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interim period</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interim period</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left"/>
        <w:rPr/>
      </w:pPr>
      <w:r>
        <w:rPr>
          <w:rFonts w:ascii="Times New Roman;serif" w:hAnsi="Times New Roman;serif"/>
          <w:b w:val="false"/>
          <w:i/>
          <w:color w:val="000000"/>
          <w:sz w:val="20"/>
        </w:rPr>
        <w:t>See accompanying notes to the condensed consolidated interim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jc w:val="left"/>
        <w:rPr>
          <w:rFonts w:ascii="Times New Roman;serif" w:hAnsi="Times New Roman;serif"/>
          <w:b/>
          <w:color w:val="000000"/>
          <w:sz w:val="24"/>
        </w:rPr>
      </w:pPr>
      <w:r>
        <w:rPr>
          <w:rFonts w:ascii="Times New Roman;serif" w:hAnsi="Times New Roman;serif"/>
          <w:b/>
          <w:color w:val="000000"/>
          <w:sz w:val="24"/>
        </w:rPr>
        <w:t xml:space="preserve">DoubleDown Interactive Co., Ltd. </w:t>
      </w:r>
    </w:p>
    <w:p>
      <w:pPr>
        <w:pStyle w:val="TextBody"/>
        <w:bidi w:val="0"/>
        <w:spacing w:lineRule="auto" w:line="333" w:before="0" w:after="0"/>
        <w:jc w:val="left"/>
        <w:rPr>
          <w:rFonts w:ascii="Times New Roman;serif" w:hAnsi="Times New Roman;serif"/>
          <w:b/>
          <w:color w:val="000000"/>
          <w:sz w:val="24"/>
        </w:rPr>
      </w:pPr>
      <w:r>
        <w:rPr>
          <w:rFonts w:ascii="Times New Roman;serif" w:hAnsi="Times New Roman;serif"/>
          <w:b/>
          <w:color w:val="000000"/>
          <w:sz w:val="24"/>
        </w:rPr>
        <w:t xml:space="preserve">Notes to the Condensed Consolidated Interim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60" w:after="283"/>
        <w:ind w:left="0" w:right="0" w:hanging="360"/>
        <w:jc w:val="left"/>
        <w:rPr>
          <w:rFonts w:ascii="Times New Roman;serif" w:hAnsi="Times New Roman;serif"/>
          <w:b/>
          <w:color w:val="000000"/>
          <w:sz w:val="20"/>
        </w:rPr>
      </w:pPr>
      <w:r>
        <w:rPr>
          <w:rFonts w:ascii="Times New Roman;serif" w:hAnsi="Times New Roman;serif"/>
          <w:b/>
          <w:color w:val="000000"/>
          <w:sz w:val="20"/>
        </w:rPr>
        <w:t>1.    General information</w:t>
      </w:r>
    </w:p>
    <w:p>
      <w:pPr>
        <w:pStyle w:val="TextBody"/>
        <w:bidi w:val="0"/>
        <w:spacing w:lineRule="auto" w:line="333" w:before="120" w:after="283"/>
        <w:jc w:val="left"/>
        <w:rPr>
          <w:rFonts w:ascii="Times New Roman;serif" w:hAnsi="Times New Roman;serif"/>
          <w:b/>
          <w:i/>
          <w:color w:val="000000"/>
          <w:sz w:val="20"/>
        </w:rPr>
      </w:pPr>
      <w:r>
        <w:rPr>
          <w:rFonts w:ascii="Times New Roman;serif" w:hAnsi="Times New Roman;serif"/>
          <w:b/>
          <w:i/>
          <w:color w:val="000000"/>
          <w:sz w:val="20"/>
        </w:rPr>
        <w:t xml:space="preserve">Background and nature of operations </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DoubleDown Interactive Co., Ltd. (“DDI,” “we,” “us,” “Parent Company,” “our” or “the Company,” formerly known as The8Games Co., Ltd.) was incorporated in 2008 in Seoul, Korea as an interactive entertainment studio, focused on the development and publishing of casual games and mobile applications. DDI is a subsidiary of DoubleU Games Co., Ltd. (“DUG” or “DoubleU Games”), a Korean company and our controlling shareholder holding 67.1% of our outstanding shares. In 2017, DDI acquired DoubleDown Interactive LLC (“DDI-US”) from International Gaming Technologies (“IGT”) for approximately $825 million. DDI-US is our primary revenue-generating company. In October 2023, the Company acquired an iGaming operator, SuprNation AB (together with its subsidiaries, “SuprNation”), which is now a direct, wholly-owned subsidiary of DDI-US. The acquisition diversifies the digital games categories that the Company addresses with the addition of four real-money iGaming sites in Europe. In July 2025, the Company acquired WHOW Games GmbH, a social casino developer headquartered in Hamburg, Germany (“WHOW Games”), which is now a direct, wholly-owned subsidiary of DDI-US. In September 2025, DDI-US completed the conversion from a Washington limited liability company to a Nevada limited liability company. </w:t>
      </w:r>
    </w:p>
    <w:p>
      <w:pPr>
        <w:pStyle w:val="TextBody"/>
        <w:bidi w:val="0"/>
        <w:spacing w:lineRule="auto" w:line="333" w:before="200" w:after="283"/>
        <w:jc w:val="left"/>
        <w:rPr/>
      </w:pPr>
      <w:r>
        <w:rPr>
          <w:rFonts w:ascii="Times New Roman;serif" w:hAnsi="Times New Roman;serif"/>
          <w:b w:val="false"/>
          <w:color w:val="000000"/>
          <w:sz w:val="20"/>
        </w:rPr>
        <w:t xml:space="preserve">We develop and publish digital gaming contents on various mobile and web platforms through our multi-format interactive all-in-one game experience concept. We host </w:t>
      </w:r>
      <w:r>
        <w:rPr>
          <w:rFonts w:ascii="Times New Roman;serif" w:hAnsi="Times New Roman;serif"/>
          <w:b w:val="false"/>
          <w:i/>
          <w:color w:val="000000"/>
          <w:sz w:val="20"/>
        </w:rPr>
        <w:t>DoubleDown Casino</w:t>
      </w:r>
      <w:r>
        <w:rPr>
          <w:rFonts w:ascii="Times New Roman;serif" w:hAnsi="Times New Roman;serif"/>
          <w:b w:val="false"/>
          <w:color w:val="000000"/>
          <w:sz w:val="20"/>
        </w:rPr>
        <w:t xml:space="preserve">, </w:t>
      </w:r>
      <w:r>
        <w:rPr>
          <w:rFonts w:ascii="Times New Roman;serif" w:hAnsi="Times New Roman;serif"/>
          <w:b w:val="false"/>
          <w:i/>
          <w:color w:val="000000"/>
          <w:sz w:val="20"/>
        </w:rPr>
        <w:t>DoubleDown Classic</w:t>
      </w:r>
      <w:r>
        <w:rPr>
          <w:rFonts w:ascii="Times New Roman;serif" w:hAnsi="Times New Roman;serif"/>
          <w:b w:val="false"/>
          <w:color w:val="000000"/>
          <w:sz w:val="20"/>
        </w:rPr>
        <w:t xml:space="preserve">, and </w:t>
      </w:r>
      <w:r>
        <w:rPr>
          <w:rFonts w:ascii="Times New Roman;serif" w:hAnsi="Times New Roman;serif"/>
          <w:b w:val="false"/>
          <w:i/>
          <w:color w:val="000000"/>
          <w:sz w:val="20"/>
        </w:rPr>
        <w:t xml:space="preserve">DoubleDown Fort Knox </w:t>
      </w:r>
      <w:r>
        <w:rPr>
          <w:rFonts w:ascii="Times New Roman;serif" w:hAnsi="Times New Roman;serif"/>
          <w:b w:val="false"/>
          <w:color w:val="000000"/>
          <w:sz w:val="20"/>
        </w:rPr>
        <w:t xml:space="preserve">within various formats, SuprNation’s four brands, </w:t>
      </w:r>
      <w:r>
        <w:rPr>
          <w:rFonts w:ascii="Times New Roman;serif" w:hAnsi="Times New Roman;serif"/>
          <w:b w:val="false"/>
          <w:i/>
          <w:color w:val="000000"/>
          <w:sz w:val="20"/>
        </w:rPr>
        <w:t>Duelz</w:t>
      </w:r>
      <w:r>
        <w:rPr>
          <w:rFonts w:ascii="Times New Roman;serif" w:hAnsi="Times New Roman;serif"/>
          <w:b w:val="false"/>
          <w:color w:val="000000"/>
          <w:sz w:val="20"/>
        </w:rPr>
        <w:t xml:space="preserve">, </w:t>
      </w:r>
      <w:r>
        <w:rPr>
          <w:rFonts w:ascii="Times New Roman;serif" w:hAnsi="Times New Roman;serif"/>
          <w:b w:val="false"/>
          <w:i/>
          <w:color w:val="000000"/>
          <w:sz w:val="20"/>
        </w:rPr>
        <w:t>VoodooDreams</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NYSpins </w:t>
      </w:r>
      <w:r>
        <w:rPr>
          <w:rFonts w:ascii="Times New Roman;serif" w:hAnsi="Times New Roman;serif"/>
          <w:b w:val="false"/>
          <w:color w:val="000000"/>
          <w:sz w:val="20"/>
        </w:rPr>
        <w:t xml:space="preserve">and </w:t>
      </w:r>
      <w:r>
        <w:rPr>
          <w:rFonts w:ascii="Times New Roman;serif" w:hAnsi="Times New Roman;serif"/>
          <w:b w:val="false"/>
          <w:i/>
          <w:color w:val="000000"/>
          <w:sz w:val="20"/>
        </w:rPr>
        <w:t>Los Vegas</w:t>
      </w:r>
      <w:r>
        <w:rPr>
          <w:color w:val="000000"/>
        </w:rPr>
        <w:t xml:space="preserve"> </w:t>
      </w:r>
      <w:r>
        <w:rPr>
          <w:rFonts w:ascii="Times New Roman;serif" w:hAnsi="Times New Roman;serif"/>
          <w:b w:val="false"/>
          <w:color w:val="000000"/>
          <w:sz w:val="20"/>
        </w:rPr>
        <w:t xml:space="preserve">on web platforms, and WHOW Games’ proprietary brands, mainly </w:t>
      </w:r>
      <w:r>
        <w:rPr>
          <w:rFonts w:ascii="Times New Roman;serif" w:hAnsi="Times New Roman;serif"/>
          <w:b w:val="false"/>
          <w:i/>
          <w:color w:val="000000"/>
          <w:sz w:val="20"/>
        </w:rPr>
        <w:t>MyJackpot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Lounge777</w:t>
      </w:r>
      <w:r>
        <w:rPr>
          <w:rFonts w:ascii="Times New Roman;serif" w:hAnsi="Times New Roman;serif"/>
          <w:b w:val="false"/>
          <w:color w:val="000000"/>
          <w:sz w:val="20"/>
        </w:rPr>
        <w:t xml:space="preserve">, and licensed brand, mainly </w:t>
      </w:r>
      <w:r>
        <w:rPr>
          <w:rFonts w:ascii="Times New Roman;serif" w:hAnsi="Times New Roman;serif"/>
          <w:b w:val="false"/>
          <w:i/>
          <w:color w:val="000000"/>
          <w:sz w:val="20"/>
        </w:rPr>
        <w:t>Merkur24</w:t>
      </w:r>
      <w:r>
        <w:rPr>
          <w:rFonts w:ascii="Times New Roman;serif" w:hAnsi="Times New Roman;serif"/>
          <w:b w:val="false"/>
          <w:color w:val="000000"/>
          <w:sz w:val="20"/>
        </w:rPr>
        <w:t>, on both web and mobile platforms.</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2, 2021, we completed our initial public offering (“IPO”) of American Depositary Shares (“ADSs”), each representing 0.05 share of a common share, with par value of ₩10,000 per share, of the Company. Our ADSs trade on the NASDAQ Stock Market (“NASDAQ”) under the symbol “DDI.”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2.    Basis of preparation and material accounting policies </w:t>
      </w:r>
    </w:p>
    <w:p>
      <w:pPr>
        <w:pStyle w:val="TextBody"/>
        <w:bidi w:val="0"/>
        <w:spacing w:lineRule="auto" w:line="333" w:before="200" w:after="283"/>
        <w:jc w:val="left"/>
        <w:rPr>
          <w:rFonts w:ascii="Times New Roman;serif" w:hAnsi="Times New Roman;serif"/>
          <w:b/>
          <w:i/>
          <w:color w:val="000000"/>
          <w:sz w:val="20"/>
        </w:rPr>
      </w:pPr>
      <w:r>
        <w:rPr>
          <w:rFonts w:ascii="Times New Roman;serif" w:hAnsi="Times New Roman;serif"/>
          <w:b/>
          <w:i/>
          <w:color w:val="000000"/>
          <w:sz w:val="20"/>
        </w:rPr>
        <w:t>Basis of preparation</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interim financial statements are presented in conformity with IAS 34, Interim Financial Reporting, as issued by International Accounting Standard Board (“IASB”), and include the accounts of DDI and its controlled subsidiaries. All intercompany transactions, balances, and unrealized gains or losses have been eliminated. Our unaudited condensed consolidated interim financial statements include all adjustments of a normal, recurring nature necessary for the fair statement of the results for the interim periods presented. The results for the interim period presented are not necessarily indicative of those for the full year. The condensed consolidated interim financial statements should be read in conjunction with our audited consolidated financial statements for the year ended December 31, 2025.</w:t>
      </w:r>
    </w:p>
    <w:p>
      <w:pPr>
        <w:pStyle w:val="TextBody"/>
        <w:bidi w:val="0"/>
        <w:spacing w:lineRule="auto" w:line="333" w:before="36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IFRS requires estimates and assumptions that affect the reported amounts of assets and liabilities, revenues and expenses, and related disclosures.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The actual results experienced may differ materially and adversely from these estimates. To the extent there are material differences between the estimates and the actual results, future operating results may be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significant accounting estimates and assumptions used in the preparation of these condensed consolidated interim financial statements are consistent with those applied in the preparation of the annual consolidated financial statements for the year ended December 31, 2025, except for the estimation method used in determining income tax expense.</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income tax expense for the interim period is calculated by applying the estimated average annual effective tax rate to the profit before tax for the period.</w:t>
      </w:r>
    </w:p>
    <w:p>
      <w:pPr>
        <w:pStyle w:val="TextBody"/>
        <w:bidi w:val="0"/>
        <w:spacing w:lineRule="auto" w:line="333" w:before="360" w:after="283"/>
        <w:jc w:val="left"/>
        <w:rPr>
          <w:rFonts w:ascii="Times New Roman;serif" w:hAnsi="Times New Roman;serif"/>
          <w:b/>
          <w:i/>
          <w:color w:val="000000"/>
          <w:sz w:val="20"/>
        </w:rPr>
      </w:pPr>
      <w:r>
        <w:rPr>
          <w:rFonts w:ascii="Times New Roman;serif" w:hAnsi="Times New Roman;serif"/>
          <w:b/>
          <w:i/>
          <w:color w:val="000000"/>
          <w:sz w:val="20"/>
        </w:rPr>
        <w:t>Accounting policies</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applied in the preparation of these condensed consolidated interim financial statements are consistent with those applied in the preparation of the consolidated financial statements as of and for the year ended December 31, 2025, except for the adoption of new standards or interpretations effective from January 1, 2026.</w:t>
      </w:r>
    </w:p>
    <w:p>
      <w:pPr>
        <w:pStyle w:val="TextBody"/>
        <w:bidi w:val="0"/>
        <w:spacing w:lineRule="auto" w:line="333" w:before="360" w:after="283"/>
        <w:jc w:val="left"/>
        <w:rPr>
          <w:rFonts w:ascii="Times New Roman;serif" w:hAnsi="Times New Roman;serif"/>
          <w:b/>
          <w:i/>
          <w:color w:val="000000"/>
          <w:sz w:val="20"/>
        </w:rPr>
      </w:pPr>
      <w:r>
        <w:rPr>
          <w:rFonts w:ascii="Times New Roman;serif" w:hAnsi="Times New Roman;serif"/>
          <w:b/>
          <w:i/>
          <w:color w:val="000000"/>
          <w:sz w:val="20"/>
        </w:rPr>
        <w:t>New standards and interpretations adopted during the interim period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Amendments to IFRS 7 Financial Instruments: Disclosures and IFRS 9 Financial Instruments - Classification and Measurement of Financial Instruments</w:t>
      </w:r>
    </w:p>
    <w:p>
      <w:pPr>
        <w:pStyle w:val="TextBody"/>
        <w:bidi w:val="0"/>
        <w:spacing w:lineRule="auto" w:line="333"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amendments to IFRS 7 and IFRS 9 clarify the classification and measurement of financial assets, including the assessment of the solely payments of principal and interest criterion for financial assets with ESG-linked features. The amendments are effective for annual reporting periods beginning on or after January 1, 2026, with earlier adoption permitted. The Company has applied the amendments retrospectively to the earliest comparative period presented. The adoption of these amendments does not have a material impact on the Company’s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ind w:left="0" w:right="0" w:hanging="522"/>
        <w:jc w:val="left"/>
        <w:rPr>
          <w:rFonts w:ascii="Times New Roman;serif" w:hAnsi="Times New Roman;serif"/>
          <w:b/>
          <w:color w:val="000000"/>
          <w:sz w:val="20"/>
        </w:rPr>
      </w:pPr>
      <w:r>
        <w:rPr>
          <w:rFonts w:ascii="Times New Roman;serif" w:hAnsi="Times New Roman;serif"/>
          <w:b/>
          <w:color w:val="000000"/>
          <w:sz w:val="20"/>
        </w:rPr>
        <w:t>3.    Financial instruments</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3.1.    Financial assets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by category as of June 30, 2026 and December 31, 2025 are as follows (in thousands):</w:t>
      </w:r>
    </w:p>
    <w:tbl>
      <w:tblPr>
        <w:tblW w:w="10205" w:type="dxa"/>
        <w:jc w:val="left"/>
        <w:tblInd w:w="0" w:type="dxa"/>
        <w:tblLayout w:type="fixed"/>
        <w:tblCellMar>
          <w:top w:w="28" w:type="dxa"/>
          <w:left w:w="28" w:type="dxa"/>
          <w:bottom w:w="28" w:type="dxa"/>
          <w:right w:w="28" w:type="dxa"/>
        </w:tblCellMar>
      </w:tblPr>
      <w:tblGrid>
        <w:gridCol w:w="1315"/>
        <w:gridCol w:w="1121"/>
        <w:gridCol w:w="1116"/>
        <w:gridCol w:w="932"/>
        <w:gridCol w:w="2065"/>
        <w:gridCol w:w="488"/>
        <w:gridCol w:w="560"/>
        <w:gridCol w:w="2196"/>
        <w:gridCol w:w="412"/>
      </w:tblGrid>
      <w:tr>
        <w:trPr/>
        <w:tc>
          <w:tcPr>
            <w:tcW w:w="13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3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assets measured at amortized cost</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455,222 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98,540 </w:t>
            </w:r>
          </w:p>
        </w:tc>
        <w:tc>
          <w:tcPr>
            <w:tcW w:w="41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39,119 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2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3485" w:type="dxa"/>
            <w:gridSpan w:val="3"/>
            <w:tcBorders/>
            <w:vAlign w:val="center"/>
          </w:tcPr>
          <w:p>
            <w:pPr>
              <w:pStyle w:val="TableContents"/>
              <w:bidi w:val="0"/>
              <w:spacing w:before="0" w:after="283"/>
              <w:jc w:val="left"/>
              <w:rPr>
                <w:sz w:val="4"/>
                <w:szCs w:val="4"/>
              </w:rPr>
            </w:pPr>
            <w:r>
              <w:rPr>
                <w:sz w:val="4"/>
                <w:szCs w:val="4"/>
              </w:rPr>
            </w:r>
          </w:p>
        </w:tc>
        <w:tc>
          <w:tcPr>
            <w:tcW w:w="3168" w:type="dxa"/>
            <w:gridSpan w:val="3"/>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592,942 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314"/>
        <w:gridCol w:w="1120"/>
        <w:gridCol w:w="1114"/>
        <w:gridCol w:w="930"/>
        <w:gridCol w:w="2062"/>
        <w:gridCol w:w="487"/>
        <w:gridCol w:w="532"/>
        <w:gridCol w:w="2084"/>
        <w:gridCol w:w="562"/>
      </w:tblGrid>
      <w:tr>
        <w:trPr/>
        <w:tc>
          <w:tcPr>
            <w:tcW w:w="131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3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assets measured at amortized cost</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388,891 </w:t>
            </w:r>
          </w:p>
        </w:tc>
        <w:tc>
          <w:tcPr>
            <w:tcW w:w="56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101,142 </w:t>
            </w:r>
          </w:p>
        </w:tc>
        <w:tc>
          <w:tcPr>
            <w:tcW w:w="56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32,017 </w:t>
            </w:r>
          </w:p>
        </w:tc>
        <w:tc>
          <w:tcPr>
            <w:tcW w:w="56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w:t>
            </w:r>
          </w:p>
        </w:tc>
        <w:tc>
          <w:tcPr>
            <w:tcW w:w="2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562"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522,998 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or loss</w:t>
            </w:r>
          </w:p>
        </w:tc>
        <w:tc>
          <w:tcPr>
            <w:tcW w:w="2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ind w:left="0" w:right="0" w:hanging="522"/>
        <w:jc w:val="left"/>
        <w:rPr>
          <w:rFonts w:ascii="Times New Roman;serif" w:hAnsi="Times New Roman;serif"/>
          <w:b/>
          <w:color w:val="000000"/>
          <w:sz w:val="20"/>
        </w:rPr>
      </w:pPr>
      <w:r>
        <w:rPr>
          <w:rFonts w:ascii="Times New Roman;serif" w:hAnsi="Times New Roman;serif"/>
          <w:b/>
          <w:color w:val="000000"/>
          <w:sz w:val="20"/>
        </w:rPr>
        <w:t>3.2.    Financial liabilities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Financial liabilities by category as of June 30, 2026 and December 31, 2025 are as follows (in thousands):</w:t>
      </w:r>
    </w:p>
    <w:tbl>
      <w:tblPr>
        <w:tblW w:w="10205" w:type="dxa"/>
        <w:jc w:val="left"/>
        <w:tblInd w:w="0" w:type="dxa"/>
        <w:tblLayout w:type="fixed"/>
        <w:tblCellMar>
          <w:top w:w="28" w:type="dxa"/>
          <w:left w:w="28" w:type="dxa"/>
          <w:bottom w:w="28" w:type="dxa"/>
          <w:right w:w="28" w:type="dxa"/>
        </w:tblCellMar>
      </w:tblPr>
      <w:tblGrid>
        <w:gridCol w:w="1228"/>
        <w:gridCol w:w="1067"/>
        <w:gridCol w:w="1076"/>
        <w:gridCol w:w="1256"/>
        <w:gridCol w:w="2421"/>
        <w:gridCol w:w="654"/>
        <w:gridCol w:w="485"/>
        <w:gridCol w:w="1660"/>
        <w:gridCol w:w="358"/>
      </w:tblGrid>
      <w:tr>
        <w:trPr/>
        <w:tc>
          <w:tcPr>
            <w:tcW w:w="122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liabilities measured</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at amortized cost</w:t>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4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w:t>
            </w:r>
            <w:r>
              <w:rPr>
                <w:rFonts w:ascii="Times New Roman;serif" w:hAnsi="Times New Roman;serif"/>
                <w:b w:val="false"/>
                <w:color w:val="000000"/>
                <w:sz w:val="13"/>
              </w:rPr>
              <w:t>(1)</w:t>
            </w:r>
          </w:p>
        </w:tc>
        <w:tc>
          <w:tcPr>
            <w:tcW w:w="3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vAlign w:val="center"/>
          </w:tcPr>
          <w:p>
            <w:pPr>
              <w:pStyle w:val="TableContents"/>
              <w:bidi w:val="0"/>
              <w:spacing w:before="0" w:after="283"/>
              <w:jc w:val="left"/>
              <w:rPr>
                <w:sz w:val="4"/>
                <w:szCs w:val="4"/>
              </w:rPr>
            </w:pPr>
            <w:r>
              <w:rPr>
                <w:sz w:val="4"/>
                <w:szCs w:val="4"/>
              </w:rPr>
            </w:r>
          </w:p>
        </w:tc>
        <w:tc>
          <w:tcPr>
            <w:tcW w:w="4331"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3371" w:type="dxa"/>
            <w:gridSpan w:val="3"/>
            <w:tcBorders/>
            <w:vAlign w:val="center"/>
          </w:tcPr>
          <w:p>
            <w:pPr>
              <w:pStyle w:val="TableContents"/>
              <w:bidi w:val="0"/>
              <w:spacing w:before="0" w:after="283"/>
              <w:jc w:val="left"/>
              <w:rPr>
                <w:sz w:val="4"/>
                <w:szCs w:val="4"/>
              </w:rPr>
            </w:pPr>
            <w:r>
              <w:rPr>
                <w:sz w:val="4"/>
                <w:szCs w:val="4"/>
              </w:rPr>
            </w:r>
          </w:p>
        </w:tc>
        <w:tc>
          <w:tcPr>
            <w:tcW w:w="4331"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3371" w:type="dxa"/>
            <w:gridSpan w:val="3"/>
            <w:tcBorders/>
            <w:vAlign w:val="center"/>
          </w:tcPr>
          <w:p>
            <w:pPr>
              <w:pStyle w:val="TableContents"/>
              <w:bidi w:val="0"/>
              <w:spacing w:before="0" w:after="283"/>
              <w:jc w:val="left"/>
              <w:rPr>
                <w:sz w:val="4"/>
                <w:szCs w:val="4"/>
              </w:rPr>
            </w:pPr>
            <w:r>
              <w:rPr>
                <w:sz w:val="4"/>
                <w:szCs w:val="4"/>
              </w:rPr>
            </w:r>
          </w:p>
        </w:tc>
        <w:tc>
          <w:tcPr>
            <w:tcW w:w="4331"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4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4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borrowings with related party </w:t>
            </w:r>
          </w:p>
        </w:tc>
        <w:tc>
          <w:tcPr>
            <w:tcW w:w="3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(1)Exclude payroll liabilities that should be paid to employees such as annual leave allowance.</w:t>
      </w:r>
    </w:p>
    <w:tbl>
      <w:tblPr>
        <w:tblW w:w="10205" w:type="dxa"/>
        <w:jc w:val="left"/>
        <w:tblInd w:w="0" w:type="dxa"/>
        <w:tblLayout w:type="fixed"/>
        <w:tblCellMar>
          <w:top w:w="28" w:type="dxa"/>
          <w:left w:w="28" w:type="dxa"/>
          <w:bottom w:w="28" w:type="dxa"/>
          <w:right w:w="28" w:type="dxa"/>
        </w:tblCellMar>
      </w:tblPr>
      <w:tblGrid>
        <w:gridCol w:w="1365"/>
        <w:gridCol w:w="1174"/>
        <w:gridCol w:w="1183"/>
        <w:gridCol w:w="1184"/>
        <w:gridCol w:w="2282"/>
        <w:gridCol w:w="617"/>
        <w:gridCol w:w="465"/>
        <w:gridCol w:w="1592"/>
        <w:gridCol w:w="343"/>
      </w:tblGrid>
      <w:tr>
        <w:trPr/>
        <w:tc>
          <w:tcPr>
            <w:tcW w:w="136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Financial liabilities measured</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at amortized cost</w:t>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4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Accrued expenses </w:t>
            </w:r>
            <w:r>
              <w:rPr>
                <w:rFonts w:ascii="Times New Roman;serif" w:hAnsi="Times New Roman;serif"/>
                <w:b w:val="false"/>
                <w:color w:val="000000"/>
                <w:sz w:val="13"/>
              </w:rPr>
              <w:t>(1)</w:t>
            </w:r>
          </w:p>
        </w:tc>
        <w:tc>
          <w:tcPr>
            <w:tcW w:w="3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with related party</w:t>
            </w:r>
          </w:p>
        </w:tc>
        <w:tc>
          <w:tcPr>
            <w:tcW w:w="3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4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3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4083"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vAlign w:val="center"/>
          </w:tcPr>
          <w:p>
            <w:pPr>
              <w:pStyle w:val="TableContents"/>
              <w:bidi w:val="0"/>
              <w:spacing w:before="0" w:after="283"/>
              <w:jc w:val="left"/>
              <w:rPr>
                <w:sz w:val="4"/>
                <w:szCs w:val="4"/>
              </w:rPr>
            </w:pPr>
            <w:r>
              <w:rPr>
                <w:sz w:val="4"/>
                <w:szCs w:val="4"/>
              </w:rPr>
            </w:r>
          </w:p>
        </w:tc>
        <w:tc>
          <w:tcPr>
            <w:tcW w:w="4083"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3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(1)Exclude payroll liabilities that should be paid to employees such as annual leave allowance.</w:t>
      </w:r>
    </w:p>
    <w:p>
      <w:pPr>
        <w:pStyle w:val="TextBody"/>
        <w:bidi w:val="0"/>
        <w:spacing w:lineRule="auto" w:line="333" w:before="200" w:after="283"/>
        <w:ind w:left="0" w:right="0" w:hanging="522"/>
        <w:jc w:val="left"/>
        <w:rPr>
          <w:rFonts w:ascii="Times New Roman;serif" w:hAnsi="Times New Roman;serif"/>
          <w:b/>
          <w:color w:val="000000"/>
          <w:sz w:val="20"/>
        </w:rPr>
      </w:pPr>
      <w:r>
        <w:rPr>
          <w:rFonts w:ascii="Times New Roman;serif" w:hAnsi="Times New Roman;serif"/>
          <w:b/>
          <w:color w:val="000000"/>
          <w:sz w:val="20"/>
        </w:rPr>
        <w:t>3.3.    Fair value hierarchy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hierarchy classifications of the financial assets that are measured at fair value disclosed in fair value as of June 30, 2026 and December 31, 2025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240"/>
        <w:jc w:val="left"/>
        <w:rPr/>
      </w:pPr>
      <w:r>
        <w:rPr/>
      </w:r>
    </w:p>
    <w:tbl>
      <w:tblPr>
        <w:tblW w:w="8394" w:type="dxa"/>
        <w:jc w:val="left"/>
        <w:tblInd w:w="0" w:type="dxa"/>
        <w:tblLayout w:type="fixed"/>
        <w:tblCellMar>
          <w:top w:w="28" w:type="dxa"/>
          <w:left w:w="28" w:type="dxa"/>
          <w:bottom w:w="28" w:type="dxa"/>
          <w:right w:w="28" w:type="dxa"/>
        </w:tblCellMar>
      </w:tblPr>
      <w:tblGrid>
        <w:gridCol w:w="1927"/>
        <w:gridCol w:w="1696"/>
        <w:gridCol w:w="1702"/>
        <w:gridCol w:w="211"/>
        <w:gridCol w:w="406"/>
        <w:gridCol w:w="109"/>
        <w:gridCol w:w="211"/>
        <w:gridCol w:w="406"/>
        <w:gridCol w:w="109"/>
        <w:gridCol w:w="211"/>
        <w:gridCol w:w="466"/>
        <w:gridCol w:w="109"/>
        <w:gridCol w:w="211"/>
        <w:gridCol w:w="466"/>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at fair value through profit or loss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8388" w:type="dxa"/>
        <w:jc w:val="left"/>
        <w:tblInd w:w="0" w:type="dxa"/>
        <w:tblLayout w:type="fixed"/>
        <w:tblCellMar>
          <w:top w:w="28" w:type="dxa"/>
          <w:left w:w="28" w:type="dxa"/>
          <w:bottom w:w="28" w:type="dxa"/>
          <w:right w:w="28" w:type="dxa"/>
        </w:tblCellMar>
      </w:tblPr>
      <w:tblGrid>
        <w:gridCol w:w="1927"/>
        <w:gridCol w:w="1696"/>
        <w:gridCol w:w="1702"/>
        <w:gridCol w:w="211"/>
        <w:gridCol w:w="406"/>
        <w:gridCol w:w="109"/>
        <w:gridCol w:w="223"/>
        <w:gridCol w:w="382"/>
        <w:gridCol w:w="115"/>
        <w:gridCol w:w="211"/>
        <w:gridCol w:w="466"/>
        <w:gridCol w:w="109"/>
        <w:gridCol w:w="211"/>
        <w:gridCol w:w="466"/>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at fair value through profit or loss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400" w:after="283"/>
        <w:ind w:left="0" w:right="0" w:hanging="522"/>
        <w:jc w:val="left"/>
        <w:rPr>
          <w:rFonts w:ascii="Times New Roman;serif" w:hAnsi="Times New Roman;serif"/>
          <w:b/>
          <w:color w:val="000000"/>
          <w:sz w:val="20"/>
        </w:rPr>
      </w:pPr>
      <w:r>
        <w:rPr>
          <w:rFonts w:ascii="Times New Roman;serif" w:hAnsi="Times New Roman;serif"/>
          <w:b/>
          <w:color w:val="000000"/>
          <w:sz w:val="20"/>
        </w:rPr>
        <w:t xml:space="preserve">3.4.    Valuation techniques and the inputs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valuation techniques and inputs used for fair value measurements and disclosed fair values categorized within Level 2 and Level 3 of the fair value hierarchy as of June 30, 2026 and December 31, 2025 are as follows (in thousands): </w:t>
      </w:r>
    </w:p>
    <w:tbl>
      <w:tblPr>
        <w:tblW w:w="10205" w:type="dxa"/>
        <w:jc w:val="left"/>
        <w:tblInd w:w="0" w:type="dxa"/>
        <w:tblLayout w:type="fixed"/>
        <w:tblCellMar>
          <w:top w:w="28" w:type="dxa"/>
          <w:left w:w="28" w:type="dxa"/>
          <w:bottom w:w="28" w:type="dxa"/>
          <w:right w:w="28" w:type="dxa"/>
        </w:tblCellMar>
      </w:tblPr>
      <w:tblGrid>
        <w:gridCol w:w="1481"/>
        <w:gridCol w:w="1301"/>
        <w:gridCol w:w="1303"/>
        <w:gridCol w:w="326"/>
        <w:gridCol w:w="722"/>
        <w:gridCol w:w="168"/>
        <w:gridCol w:w="437"/>
        <w:gridCol w:w="968"/>
        <w:gridCol w:w="229"/>
        <w:gridCol w:w="195"/>
        <w:gridCol w:w="195"/>
        <w:gridCol w:w="196"/>
        <w:gridCol w:w="801"/>
        <w:gridCol w:w="775"/>
        <w:gridCol w:w="1108"/>
      </w:tblGrid>
      <w:tr>
        <w:trPr/>
        <w:tc>
          <w:tcPr>
            <w:tcW w:w="148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4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techniques</w:t>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contribution to cooperatives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Market-based fair value approach</w:t>
            </w:r>
          </w:p>
        </w:tc>
      </w:tr>
      <w:tr>
        <w:trPr/>
        <w:tc>
          <w:tcPr>
            <w:tcW w:w="4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instruments (Money Market Trust)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Discounted Cash Flow Method</w:t>
            </w:r>
          </w:p>
        </w:tc>
      </w:tr>
      <w:tr>
        <w:trPr/>
        <w:tc>
          <w:tcPr>
            <w:tcW w:w="4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liabilities at fair value through profit or loss</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Market-based fair value approach</w:t>
            </w:r>
          </w:p>
        </w:tc>
      </w:tr>
    </w:tbl>
    <w:p>
      <w:pPr>
        <w:pStyle w:val="TextBody"/>
        <w:bidi w:val="0"/>
        <w:spacing w:before="0" w:after="0"/>
        <w:jc w:val="left"/>
        <w:rPr/>
      </w:pPr>
      <w:r>
        <w:rPr/>
      </w:r>
    </w:p>
    <w:p>
      <w:pPr>
        <w:pStyle w:val="TextBody"/>
        <w:bidi w:val="0"/>
        <w:spacing w:lineRule="auto" w:line="333" w:before="160" w:after="283"/>
        <w:ind w:left="0" w:right="0" w:hanging="522"/>
        <w:jc w:val="left"/>
        <w:rPr>
          <w:rFonts w:ascii="Times New Roman;serif" w:hAnsi="Times New Roman;serif"/>
          <w:b/>
          <w:color w:val="000000"/>
          <w:sz w:val="20"/>
        </w:rPr>
      </w:pPr>
      <w:r>
        <w:rPr>
          <w:rFonts w:ascii="Times New Roman;serif" w:hAnsi="Times New Roman;serif"/>
          <w:b/>
          <w:color w:val="000000"/>
          <w:sz w:val="20"/>
        </w:rPr>
        <w:t>3.5.    Net gains or losses by category of financial instruments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Net gains or losses by category of financial instruments for the three and six months ended June 30, 2026 and 2025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240"/>
        <w:jc w:val="left"/>
        <w:rPr/>
      </w:pPr>
      <w:r>
        <w:rPr/>
      </w:r>
    </w:p>
    <w:tbl>
      <w:tblPr>
        <w:tblW w:w="9627" w:type="dxa"/>
        <w:jc w:val="left"/>
        <w:tblInd w:w="0" w:type="dxa"/>
        <w:tblLayout w:type="fixed"/>
        <w:tblCellMar>
          <w:top w:w="28" w:type="dxa"/>
          <w:left w:w="28" w:type="dxa"/>
          <w:bottom w:w="28" w:type="dxa"/>
          <w:right w:w="28" w:type="dxa"/>
        </w:tblCellMar>
      </w:tblPr>
      <w:tblGrid>
        <w:gridCol w:w="1698"/>
        <w:gridCol w:w="1495"/>
        <w:gridCol w:w="1502"/>
        <w:gridCol w:w="278"/>
        <w:gridCol w:w="811"/>
        <w:gridCol w:w="143"/>
        <w:gridCol w:w="278"/>
        <w:gridCol w:w="910"/>
        <w:gridCol w:w="143"/>
        <w:gridCol w:w="238"/>
        <w:gridCol w:w="815"/>
        <w:gridCol w:w="123"/>
        <w:gridCol w:w="238"/>
        <w:gridCol w:w="781"/>
        <w:gridCol w:w="174"/>
      </w:tblGrid>
      <w:tr>
        <w:trPr/>
        <w:tc>
          <w:tcPr>
            <w:tcW w:w="16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36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 at fair value through profit or loss</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valuation of financial assets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valuation of financial assets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disposal of financial assets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 at amortized cost</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transactions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foreign currency</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transactions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liabilities at fair value through profit or loss</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valuation of financial liabilities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 at amortized cost</w:t>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foreign currency transactions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transactions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ind w:left="0" w:right="0" w:hanging="522"/>
        <w:jc w:val="left"/>
        <w:rPr>
          <w:rFonts w:ascii="Times New Roman;serif" w:hAnsi="Times New Roman;serif"/>
          <w:b/>
          <w:color w:val="000000"/>
          <w:sz w:val="20"/>
        </w:rPr>
      </w:pPr>
      <w:r>
        <w:rPr>
          <w:rFonts w:ascii="Times New Roman;serif" w:hAnsi="Times New Roman;serif"/>
          <w:b/>
          <w:color w:val="000000"/>
          <w:sz w:val="20"/>
        </w:rPr>
        <w:t>4.    Intangible assets and goodwill</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net book value of intangible assets for the six months ended June 30, 2026 and 2025 are as follows (in thousands):</w:t>
      </w:r>
    </w:p>
    <w:tbl>
      <w:tblPr>
        <w:tblW w:w="10205" w:type="dxa"/>
        <w:jc w:val="left"/>
        <w:tblInd w:w="0" w:type="dxa"/>
        <w:tblLayout w:type="fixed"/>
        <w:tblCellMar>
          <w:top w:w="28" w:type="dxa"/>
          <w:left w:w="28" w:type="dxa"/>
          <w:bottom w:w="28" w:type="dxa"/>
          <w:right w:w="28" w:type="dxa"/>
        </w:tblCellMar>
      </w:tblPr>
      <w:tblGrid>
        <w:gridCol w:w="832"/>
        <w:gridCol w:w="718"/>
        <w:gridCol w:w="724"/>
        <w:gridCol w:w="211"/>
        <w:gridCol w:w="826"/>
        <w:gridCol w:w="109"/>
        <w:gridCol w:w="213"/>
        <w:gridCol w:w="727"/>
        <w:gridCol w:w="111"/>
        <w:gridCol w:w="260"/>
        <w:gridCol w:w="760"/>
        <w:gridCol w:w="136"/>
        <w:gridCol w:w="233"/>
        <w:gridCol w:w="681"/>
        <w:gridCol w:w="122"/>
        <w:gridCol w:w="211"/>
        <w:gridCol w:w="616"/>
        <w:gridCol w:w="109"/>
        <w:gridCol w:w="286"/>
        <w:gridCol w:w="978"/>
        <w:gridCol w:w="147"/>
        <w:gridCol w:w="211"/>
        <w:gridCol w:w="826"/>
        <w:gridCol w:w="158"/>
      </w:tblGrid>
      <w:tr>
        <w:trPr/>
        <w:tc>
          <w:tcPr>
            <w:tcW w:w="83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w:t>
              <w:br/>
              <w:t>relationships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Purchased</w:t>
              <w:br/>
              <w:t>technology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Software</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Gaming License</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24" w:type="dxa"/>
        <w:jc w:val="left"/>
        <w:tblInd w:w="0" w:type="dxa"/>
        <w:tblLayout w:type="fixed"/>
        <w:tblCellMar>
          <w:top w:w="28" w:type="dxa"/>
          <w:left w:w="28" w:type="dxa"/>
          <w:bottom w:w="28" w:type="dxa"/>
          <w:right w:w="28" w:type="dxa"/>
        </w:tblCellMar>
      </w:tblPr>
      <w:tblGrid>
        <w:gridCol w:w="837"/>
        <w:gridCol w:w="733"/>
        <w:gridCol w:w="739"/>
        <w:gridCol w:w="211"/>
        <w:gridCol w:w="826"/>
        <w:gridCol w:w="109"/>
        <w:gridCol w:w="213"/>
        <w:gridCol w:w="727"/>
        <w:gridCol w:w="111"/>
        <w:gridCol w:w="260"/>
        <w:gridCol w:w="760"/>
        <w:gridCol w:w="136"/>
        <w:gridCol w:w="233"/>
        <w:gridCol w:w="681"/>
        <w:gridCol w:w="122"/>
        <w:gridCol w:w="251"/>
        <w:gridCol w:w="429"/>
        <w:gridCol w:w="131"/>
        <w:gridCol w:w="382"/>
        <w:gridCol w:w="845"/>
        <w:gridCol w:w="197"/>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w:t>
              <w:br/>
              <w:t>relationships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Purchased</w:t>
              <w:br/>
              <w:t>technology</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Software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Gaming License</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5.    Lease</w:t>
      </w:r>
    </w:p>
    <w:p>
      <w:pPr>
        <w:pStyle w:val="TextBody"/>
        <w:bidi w:val="0"/>
        <w:spacing w:lineRule="auto" w:line="333" w:before="200" w:after="283"/>
        <w:jc w:val="left"/>
        <w:rPr/>
      </w:pPr>
      <w:r>
        <w:rPr>
          <w:rFonts w:ascii="Times New Roman;serif" w:hAnsi="Times New Roman;serif"/>
          <w:b/>
          <w:color w:val="000000"/>
          <w:sz w:val="20"/>
        </w:rPr>
        <w:t xml:space="preserve">5.1. </w:t>
      </w:r>
      <w:r>
        <w:rPr>
          <w:rFonts w:ascii="Times New Roman;serif" w:hAnsi="Times New Roman;serif"/>
          <w:b w:val="false"/>
          <w:color w:val="000000"/>
          <w:sz w:val="20"/>
        </w:rPr>
        <w:t>Our leases primarily consist of real estate leases for office space and do not have any non-lease components. The leases typically run for a period of 2 ~10 years, with an option to renew or terminate the lease after that date. No restrictions or covenants are imposed on leases, but the lease assets shall not be provided as collateral for borrowings.</w:t>
      </w:r>
    </w:p>
    <w:p>
      <w:pPr>
        <w:pStyle w:val="TextBody"/>
        <w:bidi w:val="0"/>
        <w:spacing w:lineRule="auto" w:line="333" w:before="200" w:after="283"/>
        <w:ind w:left="0" w:right="0" w:hanging="450"/>
        <w:jc w:val="left"/>
        <w:rPr>
          <w:rFonts w:ascii="Times New Roman;serif" w:hAnsi="Times New Roman;serif"/>
          <w:b/>
          <w:color w:val="000000"/>
          <w:sz w:val="20"/>
        </w:rPr>
      </w:pPr>
      <w:r>
        <w:rPr>
          <w:rFonts w:ascii="Times New Roman;serif" w:hAnsi="Times New Roman;serif"/>
          <w:b/>
          <w:color w:val="000000"/>
          <w:sz w:val="20"/>
        </w:rPr>
        <w:t>5.2.    Changes in right-of-use assets and lease liabilities: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right-of-use assets and lease liabilities for the six months ended June 30, 2026 and 2025 are as follows (in thousands):</w:t>
      </w:r>
    </w:p>
    <w:tbl>
      <w:tblPr>
        <w:tblW w:w="6718" w:type="dxa"/>
        <w:jc w:val="left"/>
        <w:tblInd w:w="0" w:type="dxa"/>
        <w:tblLayout w:type="fixed"/>
        <w:tblCellMar>
          <w:top w:w="28" w:type="dxa"/>
          <w:left w:w="28" w:type="dxa"/>
          <w:bottom w:w="28" w:type="dxa"/>
          <w:right w:w="28" w:type="dxa"/>
        </w:tblCellMar>
      </w:tblPr>
      <w:tblGrid>
        <w:gridCol w:w="1299"/>
        <w:gridCol w:w="1138"/>
        <w:gridCol w:w="1147"/>
        <w:gridCol w:w="370"/>
        <w:gridCol w:w="1086"/>
        <w:gridCol w:w="193"/>
        <w:gridCol w:w="319"/>
        <w:gridCol w:w="933"/>
        <w:gridCol w:w="233"/>
      </w:tblGrid>
      <w:tr>
        <w:trPr/>
        <w:tc>
          <w:tcPr>
            <w:tcW w:w="12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5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Lease liabilities</w:t>
            </w:r>
          </w:p>
        </w:tc>
      </w:tr>
      <w:tr>
        <w:trPr/>
        <w:tc>
          <w:tcPr>
            <w:tcW w:w="3584"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Office</w:t>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relating to lease liabilities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lease liabilities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240"/>
        <w:jc w:val="left"/>
        <w:rPr/>
      </w:pPr>
      <w:r>
        <w:rPr/>
      </w:r>
    </w:p>
    <w:tbl>
      <w:tblPr>
        <w:tblW w:w="6718" w:type="dxa"/>
        <w:jc w:val="left"/>
        <w:tblInd w:w="0" w:type="dxa"/>
        <w:tblLayout w:type="fixed"/>
        <w:tblCellMar>
          <w:top w:w="28" w:type="dxa"/>
          <w:left w:w="28" w:type="dxa"/>
          <w:bottom w:w="28" w:type="dxa"/>
          <w:right w:w="28" w:type="dxa"/>
        </w:tblCellMar>
      </w:tblPr>
      <w:tblGrid>
        <w:gridCol w:w="1299"/>
        <w:gridCol w:w="1138"/>
        <w:gridCol w:w="1147"/>
        <w:gridCol w:w="370"/>
        <w:gridCol w:w="1086"/>
        <w:gridCol w:w="193"/>
        <w:gridCol w:w="319"/>
        <w:gridCol w:w="933"/>
        <w:gridCol w:w="233"/>
      </w:tblGrid>
      <w:tr>
        <w:trPr/>
        <w:tc>
          <w:tcPr>
            <w:tcW w:w="129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5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Lease liabilities</w:t>
            </w:r>
          </w:p>
        </w:tc>
      </w:tr>
      <w:tr>
        <w:trPr/>
        <w:tc>
          <w:tcPr>
            <w:tcW w:w="3584" w:type="dxa"/>
            <w:gridSpan w:val="3"/>
            <w:vMerge w:val="continue"/>
            <w:tcBorders/>
            <w:tcMar>
              <w:top w:w="0" w:type="dxa"/>
              <w:left w:w="0" w:type="dxa"/>
              <w:bottom w:w="0" w:type="dxa"/>
              <w:right w:w="0" w:type="dxa"/>
            </w:tcMar>
            <w:vAlign w:val="center"/>
          </w:tcPr>
          <w:p>
            <w:pPr>
              <w:pStyle w:val="Normal"/>
              <w:bidi w:val="0"/>
              <w:jc w:val="left"/>
              <w:rPr/>
            </w:pPr>
            <w:r>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Office</w:t>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relating to lease liabilities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lease liabilities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6.     Short-term and long-term borrowings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borrowings from DoubleU Games (in thousands):</w:t>
      </w:r>
    </w:p>
    <w:tbl>
      <w:tblPr>
        <w:tblW w:w="9283" w:type="dxa"/>
        <w:jc w:val="left"/>
        <w:tblInd w:w="0" w:type="dxa"/>
        <w:tblLayout w:type="fixed"/>
        <w:tblCellMar>
          <w:top w:w="28" w:type="dxa"/>
          <w:left w:w="28" w:type="dxa"/>
          <w:bottom w:w="28" w:type="dxa"/>
          <w:right w:w="28" w:type="dxa"/>
        </w:tblCellMar>
      </w:tblPr>
      <w:tblGrid>
        <w:gridCol w:w="1531"/>
        <w:gridCol w:w="1347"/>
        <w:gridCol w:w="1351"/>
        <w:gridCol w:w="379"/>
        <w:gridCol w:w="379"/>
        <w:gridCol w:w="381"/>
        <w:gridCol w:w="290"/>
        <w:gridCol w:w="290"/>
        <w:gridCol w:w="291"/>
        <w:gridCol w:w="370"/>
        <w:gridCol w:w="713"/>
        <w:gridCol w:w="191"/>
        <w:gridCol w:w="344"/>
        <w:gridCol w:w="1175"/>
        <w:gridCol w:w="251"/>
      </w:tblGrid>
      <w:tr>
        <w:trPr/>
        <w:tc>
          <w:tcPr>
            <w:tcW w:w="15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Current portion of borrowings with related party </w:t>
            </w:r>
            <w:r>
              <w:rPr>
                <w:rFonts w:ascii="Times New Roman;serif" w:hAnsi="Times New Roman;serif"/>
                <w:b w:val="false"/>
                <w:color w:val="000000"/>
                <w:sz w:val="13"/>
              </w:rPr>
              <w:t>(1)</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27,</w:t>
              <w:br/>
              <w:t>2026</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borrowings with related party </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27,</w:t>
              <w:br/>
              <w:t>2028</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32,436</w:t>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(1) DoubleU Games extended three loans to us on May 25, 2018, August 27, 2018, and November 26, 2018 (collectively, the “4.6% Senior Notes”), and the aggregate outstanding principal amount as of December 31, 2025 was $34.8 million. The 4.6% Senior Notes were scheduled to mature in May 2026. In May 2026, following a voluntary interest payment of $3.1 million, the maturity of each 4.6% Senior Note was extended by two years to May 27, 2028, covering the remaining outstanding principal amount under the 4.6%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7.    Retirement benefit plan</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7.1 Defined benefit pension plan</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defined benefit pension plan under employment regulations in Korea. The plan services the employees located in Seoul and is a final wage-based pension plan, which provides a specified amount of pension benefit based on length of service. The service cost components of the net periodic benefit costs are charged to current operations based on the employee’s functional area.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7.2 Details of defined benefit liabilities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defined benefit liabilities (defined benefit assets) (in thousands): </w:t>
      </w:r>
    </w:p>
    <w:tbl>
      <w:tblPr>
        <w:tblW w:w="6703" w:type="dxa"/>
        <w:jc w:val="left"/>
        <w:tblInd w:w="0" w:type="dxa"/>
        <w:tblLayout w:type="fixed"/>
        <w:tblCellMar>
          <w:top w:w="28" w:type="dxa"/>
          <w:left w:w="28" w:type="dxa"/>
          <w:bottom w:w="28" w:type="dxa"/>
          <w:right w:w="28" w:type="dxa"/>
        </w:tblCellMar>
      </w:tblPr>
      <w:tblGrid>
        <w:gridCol w:w="1327"/>
        <w:gridCol w:w="1163"/>
        <w:gridCol w:w="1170"/>
        <w:gridCol w:w="287"/>
        <w:gridCol w:w="839"/>
        <w:gridCol w:w="148"/>
        <w:gridCol w:w="380"/>
        <w:gridCol w:w="1110"/>
        <w:gridCol w:w="279"/>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defined benefit obligations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defined benefit liabilities (assets)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lineRule="auto" w:line="333"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tax expense for the interim period has been recognized based on management’s best estimate of the weighted average annual effective tax rate expected for the full fiscal year ending December 31, 2026. Separately, management estimates that the weighted average annual effective tax rate for the six months ended June 30, 2026 is 21.4%, compared to 27.8%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Shareholders’ equity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 have 200,000,000 total authorized shares with 2,477,672 common shares issued and outstanding at June 30, 2026 and 2025, and the par value per share is KRW10,000.</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9.1. Changes in share capital</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common shares, share capital and premium (in thousands, except shares):</w:t>
      </w:r>
    </w:p>
    <w:tbl>
      <w:tblPr>
        <w:tblW w:w="7622" w:type="dxa"/>
        <w:jc w:val="left"/>
        <w:tblInd w:w="0" w:type="dxa"/>
        <w:tblLayout w:type="fixed"/>
        <w:tblCellMar>
          <w:top w:w="28" w:type="dxa"/>
          <w:left w:w="28" w:type="dxa"/>
          <w:bottom w:w="28" w:type="dxa"/>
          <w:right w:w="28" w:type="dxa"/>
        </w:tblCellMar>
      </w:tblPr>
      <w:tblGrid>
        <w:gridCol w:w="837"/>
        <w:gridCol w:w="733"/>
        <w:gridCol w:w="739"/>
        <w:gridCol w:w="489"/>
        <w:gridCol w:w="489"/>
        <w:gridCol w:w="491"/>
        <w:gridCol w:w="249"/>
        <w:gridCol w:w="852"/>
        <w:gridCol w:w="128"/>
        <w:gridCol w:w="262"/>
        <w:gridCol w:w="1027"/>
        <w:gridCol w:w="135"/>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shares</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 capital</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 premium</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10.    Revenue from contract with customers</w:t>
      </w:r>
    </w:p>
    <w:p>
      <w:pPr>
        <w:pStyle w:val="TextBody"/>
        <w:bidi w:val="0"/>
        <w:spacing w:lineRule="auto" w:line="333" w:before="240" w:after="283"/>
        <w:jc w:val="left"/>
        <w:rPr/>
      </w:pPr>
      <w:r>
        <w:rPr>
          <w:rFonts w:ascii="Times New Roman;serif" w:hAnsi="Times New Roman;serif"/>
          <w:b/>
          <w:color w:val="000000"/>
          <w:sz w:val="20"/>
        </w:rPr>
        <w:t>10.1 Disaggregation of</w:t>
      </w:r>
      <w:r>
        <w:rPr>
          <w:color w:val="000000"/>
        </w:rPr>
        <w:t xml:space="preserve"> </w:t>
      </w:r>
      <w:r>
        <w:rPr>
          <w:rFonts w:ascii="Times New Roman;serif" w:hAnsi="Times New Roman;serif"/>
          <w:b/>
          <w:color w:val="000000"/>
          <w:sz w:val="20"/>
        </w:rPr>
        <w:t>revenue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distinguishes between revenue recognized over time and revenue recognized at a point in time.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revenue by service contract type, geographic market, and the timing of performance obligation satisfaction (in thousands):</w:t>
      </w:r>
    </w:p>
    <w:tbl>
      <w:tblPr>
        <w:tblW w:w="8081" w:type="dxa"/>
        <w:jc w:val="left"/>
        <w:tblInd w:w="0" w:type="dxa"/>
        <w:tblLayout w:type="fixed"/>
        <w:tblCellMar>
          <w:top w:w="28" w:type="dxa"/>
          <w:left w:w="28" w:type="dxa"/>
          <w:bottom w:w="28" w:type="dxa"/>
          <w:right w:w="28" w:type="dxa"/>
        </w:tblCellMar>
      </w:tblPr>
      <w:tblGrid>
        <w:gridCol w:w="1021"/>
        <w:gridCol w:w="897"/>
        <w:gridCol w:w="902"/>
        <w:gridCol w:w="260"/>
        <w:gridCol w:w="888"/>
        <w:gridCol w:w="134"/>
        <w:gridCol w:w="260"/>
        <w:gridCol w:w="888"/>
        <w:gridCol w:w="134"/>
        <w:gridCol w:w="109"/>
        <w:gridCol w:w="109"/>
        <w:gridCol w:w="109"/>
        <w:gridCol w:w="214"/>
        <w:gridCol w:w="838"/>
        <w:gridCol w:w="110"/>
        <w:gridCol w:w="214"/>
        <w:gridCol w:w="838"/>
        <w:gridCol w:w="156"/>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Type of service </w:t>
            </w:r>
            <w:r>
              <w:rPr>
                <w:rFonts w:ascii="Times New Roman;serif" w:hAnsi="Times New Roman;serif"/>
                <w:b w:val="false"/>
                <w:color w:val="000000"/>
                <w:sz w:val="13"/>
              </w:rPr>
              <w:t>(1)</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Social casino game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Geographic market</w:t>
            </w:r>
            <w:r>
              <w:rPr>
                <w:color w:val="000000"/>
              </w:rPr>
              <w:t xml:space="preserve"> </w:t>
            </w:r>
            <w:r>
              <w:rPr>
                <w:rFonts w:ascii="Times New Roman;serif" w:hAnsi="Times New Roman;serif"/>
                <w:b w:val="false"/>
                <w:color w:val="000000"/>
                <w:sz w:val="13"/>
              </w:rPr>
              <w:t>(1)</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Timing of revenue recognition </w:t>
            </w:r>
            <w:r>
              <w:rPr>
                <w:rFonts w:ascii="Times New Roman;serif" w:hAnsi="Times New Roman;serif"/>
                <w:b w:val="false"/>
                <w:color w:val="000000"/>
                <w:sz w:val="13"/>
              </w:rPr>
              <w:t>(1)</w:t>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(1)iGaming revenues are excluded and amounted to $16,990 thousand for the three months ended June 30, 2026, $34,166 thousand for the six months ended June 30, 2026, $15,474 thousand for the three months ended June 30, 2025, and $28,685 thousand for the six months ended June 30, 2025.</w:t>
      </w:r>
    </w:p>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revenue between Third-Party Platforms and Direct-to-Consumers (in thousands):</w:t>
      </w:r>
    </w:p>
    <w:tbl>
      <w:tblPr>
        <w:tblW w:w="7271" w:type="dxa"/>
        <w:jc w:val="left"/>
        <w:tblInd w:w="0" w:type="dxa"/>
        <w:tblLayout w:type="fixed"/>
        <w:tblCellMar>
          <w:top w:w="28" w:type="dxa"/>
          <w:left w:w="28" w:type="dxa"/>
          <w:bottom w:w="28" w:type="dxa"/>
          <w:right w:w="28" w:type="dxa"/>
        </w:tblCellMar>
      </w:tblPr>
      <w:tblGrid>
        <w:gridCol w:w="729"/>
        <w:gridCol w:w="639"/>
        <w:gridCol w:w="642"/>
        <w:gridCol w:w="260"/>
        <w:gridCol w:w="888"/>
        <w:gridCol w:w="134"/>
        <w:gridCol w:w="260"/>
        <w:gridCol w:w="888"/>
        <w:gridCol w:w="134"/>
        <w:gridCol w:w="109"/>
        <w:gridCol w:w="109"/>
        <w:gridCol w:w="109"/>
        <w:gridCol w:w="214"/>
        <w:gridCol w:w="838"/>
        <w:gridCol w:w="110"/>
        <w:gridCol w:w="214"/>
        <w:gridCol w:w="838"/>
        <w:gridCol w:w="156"/>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Platforms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Direct-to-Consumers </w:t>
            </w:r>
            <w:r>
              <w:rPr>
                <w:rFonts w:ascii="Times New Roman;serif" w:hAnsi="Times New Roman;serif"/>
                <w:b w:val="false"/>
                <w:color w:val="000000"/>
                <w:sz w:val="13"/>
              </w:rPr>
              <w:t>(1)</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(2)</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(1)Direct-to-Consumer (“DTC”) revenue represents revenue from purchases made through Company-owned channels, including web storefront transactions and other direct payment flows.</w:t>
      </w:r>
    </w:p>
    <w:p>
      <w:pPr>
        <w:pStyle w:val="TextBody"/>
        <w:bidi w:val="0"/>
        <w:spacing w:lineRule="auto" w:line="333"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(2)iGaming revenues are excluded and amounted to $16,990 thousand for the three months ended June 30, 2026, $34,166 thousand for the six months ended June 30, 2026, $15,474 thousand for the three months ended June 30, 2025, and $28,685 thousand for the six months ended June 30, 2025.</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00" w:after="283"/>
        <w:jc w:val="left"/>
        <w:rPr>
          <w:rFonts w:ascii="Times New Roman;serif" w:hAnsi="Times New Roman;serif"/>
          <w:b/>
          <w:color w:val="000000"/>
          <w:sz w:val="20"/>
        </w:rPr>
      </w:pPr>
      <w:r>
        <w:rPr>
          <w:rFonts w:ascii="Times New Roman;serif" w:hAnsi="Times New Roman;serif"/>
          <w:b/>
          <w:color w:val="000000"/>
          <w:sz w:val="20"/>
        </w:rPr>
        <w:t>10.2 Contract assets, contract liabilities with customers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opening and closing balances in contract assets and contract liabilities (in thousands):</w:t>
      </w:r>
    </w:p>
    <w:tbl>
      <w:tblPr>
        <w:tblW w:w="4917" w:type="dxa"/>
        <w:jc w:val="left"/>
        <w:tblInd w:w="0" w:type="dxa"/>
        <w:tblLayout w:type="fixed"/>
        <w:tblCellMar>
          <w:top w:w="28" w:type="dxa"/>
          <w:left w:w="28" w:type="dxa"/>
          <w:bottom w:w="28" w:type="dxa"/>
          <w:right w:w="28" w:type="dxa"/>
        </w:tblCellMar>
      </w:tblPr>
      <w:tblGrid>
        <w:gridCol w:w="679"/>
        <w:gridCol w:w="597"/>
        <w:gridCol w:w="598"/>
        <w:gridCol w:w="342"/>
        <w:gridCol w:w="756"/>
        <w:gridCol w:w="176"/>
        <w:gridCol w:w="448"/>
        <w:gridCol w:w="992"/>
        <w:gridCol w:w="32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Contract assets</w:t>
            </w:r>
            <w:r>
              <w:rPr>
                <w:color w:val="000000"/>
              </w:rPr>
              <w:t xml:space="preserve"> </w:t>
            </w:r>
            <w:r>
              <w:rPr>
                <w:rFonts w:ascii="Times New Roman;serif" w:hAnsi="Times New Roman;serif"/>
                <w:b w:val="false"/>
                <w:color w:val="000000"/>
                <w:sz w:val="13"/>
              </w:rPr>
              <w:t>(1)</w:t>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3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Contract liabilities</w:t>
            </w:r>
            <w:r>
              <w:rPr>
                <w:color w:val="000000"/>
              </w:rPr>
              <w:t xml:space="preserve"> </w:t>
            </w:r>
            <w:r>
              <w:rPr>
                <w:rFonts w:ascii="Times New Roman;serif" w:hAnsi="Times New Roman;serif"/>
                <w:b w:val="false"/>
                <w:color w:val="000000"/>
                <w:sz w:val="13"/>
              </w:rPr>
              <w:t>(2)</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(1)Contract assets are included within prepaid expenses and other assets in our consolidated interim financial position.</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(2)The amount of revenue recognized during the current year from the contract liabilities balance at the beginning of the reporting period is $1,861 thousand for the six months ended June 30, 2026 and $1,754 thousand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11.    Classification of operating expenses by nature</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classification of expenses by nature for the three and six months ended June 30, 2026 and 2025 are as follows (in thousands):</w:t>
      </w:r>
    </w:p>
    <w:tbl>
      <w:tblPr>
        <w:tblW w:w="8141" w:type="dxa"/>
        <w:jc w:val="left"/>
        <w:tblInd w:w="0" w:type="dxa"/>
        <w:tblLayout w:type="fixed"/>
        <w:tblCellMar>
          <w:top w:w="28" w:type="dxa"/>
          <w:left w:w="28" w:type="dxa"/>
          <w:bottom w:w="28" w:type="dxa"/>
          <w:right w:w="28" w:type="dxa"/>
        </w:tblCellMar>
      </w:tblPr>
      <w:tblGrid>
        <w:gridCol w:w="1044"/>
        <w:gridCol w:w="915"/>
        <w:gridCol w:w="921"/>
        <w:gridCol w:w="260"/>
        <w:gridCol w:w="888"/>
        <w:gridCol w:w="134"/>
        <w:gridCol w:w="260"/>
        <w:gridCol w:w="888"/>
        <w:gridCol w:w="134"/>
        <w:gridCol w:w="109"/>
        <w:gridCol w:w="109"/>
        <w:gridCol w:w="109"/>
        <w:gridCol w:w="214"/>
        <w:gridCol w:w="838"/>
        <w:gridCol w:w="110"/>
        <w:gridCol w:w="214"/>
        <w:gridCol w:w="838"/>
        <w:gridCol w:w="156"/>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and dues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Fees and commissions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the sum of cost of revenue, sales and marketing, research and development, and general and administrative expenses as included in the consolidated interim statement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333" w:before="120" w:after="283"/>
        <w:ind w:left="0" w:right="0" w:hanging="540"/>
        <w:jc w:val="left"/>
        <w:rPr/>
      </w:pPr>
      <w:r>
        <w:rPr>
          <w:rFonts w:ascii="Times New Roman;serif" w:hAnsi="Times New Roman;serif"/>
          <w:b/>
          <w:color w:val="000000"/>
          <w:sz w:val="20"/>
        </w:rPr>
        <w:t>12.1.    </w:t>
      </w:r>
      <w:r>
        <w:rPr>
          <w:rFonts w:ascii="Times New Roman;serif" w:hAnsi="Times New Roman;serif"/>
          <w:b w:val="false"/>
          <w:color w:val="000000"/>
          <w:sz w:val="20"/>
        </w:rPr>
        <w:t>Basic earnings per share is computed by dividing earnings by the weighted-average number of common shares outstanding for the period, without consideration for potentially dilutive securities. The following table presents the calculation of basic earnings per share (in thousands, except share and per share amounts):</w:t>
      </w:r>
    </w:p>
    <w:tbl>
      <w:tblPr>
        <w:tblW w:w="9819" w:type="dxa"/>
        <w:jc w:val="left"/>
        <w:tblInd w:w="0" w:type="dxa"/>
        <w:tblLayout w:type="fixed"/>
        <w:tblCellMar>
          <w:top w:w="28" w:type="dxa"/>
          <w:left w:w="28" w:type="dxa"/>
          <w:bottom w:w="28" w:type="dxa"/>
          <w:right w:w="28" w:type="dxa"/>
        </w:tblCellMar>
      </w:tblPr>
      <w:tblGrid>
        <w:gridCol w:w="1648"/>
        <w:gridCol w:w="1450"/>
        <w:gridCol w:w="1462"/>
        <w:gridCol w:w="260"/>
        <w:gridCol w:w="888"/>
        <w:gridCol w:w="134"/>
        <w:gridCol w:w="260"/>
        <w:gridCol w:w="888"/>
        <w:gridCol w:w="134"/>
        <w:gridCol w:w="109"/>
        <w:gridCol w:w="109"/>
        <w:gridCol w:w="109"/>
        <w:gridCol w:w="235"/>
        <w:gridCol w:w="803"/>
        <w:gridCol w:w="121"/>
        <w:gridCol w:w="235"/>
        <w:gridCol w:w="803"/>
        <w:gridCol w:w="171"/>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attributable to DoubleDown Interactive Co., Ltd.</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ind w:left="0" w:right="0" w:hanging="540"/>
        <w:jc w:val="left"/>
        <w:rPr/>
      </w:pPr>
      <w:r>
        <w:rPr>
          <w:rFonts w:ascii="Times New Roman;serif" w:hAnsi="Times New Roman;serif"/>
          <w:b/>
          <w:color w:val="000000"/>
          <w:sz w:val="20"/>
        </w:rPr>
        <w:t>12.2.    </w:t>
      </w:r>
      <w:r>
        <w:rPr>
          <w:rFonts w:ascii="Times New Roman;serif" w:hAnsi="Times New Roman;serif"/>
          <w:b w:val="false"/>
          <w:color w:val="000000"/>
          <w:sz w:val="20"/>
        </w:rPr>
        <w:t>Diluted earnings per share is computed by dividing profit applicable to owners of the Company by the weighted-average number of common shares and dilutive common share equivalents outstanding for the period. The Company does not have dilutive potential ordinary shares outstanding. Accordingly, the diluted earnings per share for the three and six months ended June 30, 2026 and 2025 are the same as the basic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13.1.    Publishing and license agreements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DoubleU Games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entered into the DoubleU Games License Agreement on March 7, 2018 with DoubleU Games through DDI-US, pursuant to which DoubleU Games grants us, an exclusive license to develop and distribute certain DoubleU Games social casino game titles and sequels thereto in the social online game field of use. We are obligated to pay a royalty license fee to DoubleU Games in connection with these rights, with certain customary terms and conditions. As of June 30, 2026, we licensed from DUG approximately 77 game titles under the terms of this agreement.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2023, we, through DDI-US, entered into a Game Development Services Agreement with DoubleU Games pursuant to which DDI-US will pay service fees to DoubleU Games for certain game maintenance services and product planning and user analysis services provided by DoubleU Games.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2024, we, through DDI-US, entered into a Game Development Agreement with DoubleU Games, pursuant to which DoubleU Games would develop certain social casino game software and titles for us in exchange for development fees.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We, through SuprPlay Limited, also entered into a new game license agreement with DoubleU Games with effect from August 20, 2024. We are obligated to pay a royalty license fee to DoubleU Games in connection with these rights, with certain customary terms and conditions.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Gaming Technologies (“IGT”)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2017, we entered into a Game Development, Distribution, and Services Agreement with IGT. Under the terms of the agreement, IGT will deliver game assets so that we can port (a process of converting the assets into functioning slot games by platform) the technology for inclusion in our gaming apps. The agreement includes game assets that are used to create new games. Under the agreement, we paid IGT an initial royalty rate of 10% of revenue for their proprietary assets and 15% of revenue for third-party game asset types. Effective January 1, 2019, we amended the agreement to revise the royalty rate for proprietary game asset types to 7.5% of revenue. The initial term of the agreement is ten (10) years with up to two additional five-year periods. Costs incurred in connection with this agreement for the six months ended June 30, 2026 and 2025 totaled $1.4 million and $1.6 million, respectively, and are recognized as a component of cost of revenue.</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13.2.    Legal contingencies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As of the date of this report, in the United States, the Company is a defendant or involved as an interested party in several pending lawsuits and arbitrations alleging that its social casino-themed games constitute illegal gambling under applicable state laws and seeking to recover amounts paid by the residents of the applicable state in connection with such games. The Company denies the allegations, and contends that its games are not gambling under the applicable law and that the cases suffer from various procedural defects. At this time, the Company is unable to reasonably predict the outcome of these legal proceedings and cannot estimate what impact, if any, the litigation may have on the Company’s condensed consolidated interim financial statements.</w:t>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13.3.    Directors and Officers’ indemnification agreement</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maximum aggregate liability for all loss and expenses on account of any and all requests for indemnity under the Indemnification Agreement or any similar indemnity agreement with any other indemnitee will be $5,000,000 per every 12-month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13.4.    Other matters</w:t>
      </w:r>
    </w:p>
    <w:p>
      <w:pPr>
        <w:pStyle w:val="TextBody"/>
        <w:bidi w:val="0"/>
        <w:spacing w:lineRule="auto" w:line="333"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IGT Letter</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2025, DDI-US received a letter from IGT (“IGT Letter”) purporting to terminate the Company’s licenses to develop and distribute IGT social casino game titles throughout the United States. The IGT Letter cited the January 2025 public memo issued by the Washington State Gambling Commission (“WSGC”), where the WSGC encouraged companies offering virtual casino-style games to Washington residents to review their games and ensure compliance with state gambling regulations. The Company responded to the IGT Letter in April 2025, disputing the termination, and has not received any subsequent response from IGT to date. While the outcome of this matter is currently uncertain, the Company believes that IGT has no basis to terminate the licenses and that the Company’s distribution of the licensed games is not prohibited under Washington State law.</w:t>
      </w:r>
    </w:p>
    <w:p>
      <w:pPr>
        <w:pStyle w:val="TextBody"/>
        <w:bidi w:val="0"/>
        <w:spacing w:lineRule="auto" w:line="333"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SuprNation Performance Based Compensation</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Contemporaneously with entering into the definitive agreement, the Company also adopted an eighteen-month performance-based incentive plan for certain key employees of SuprNation, under which the key employees may earn up to a total of $6.5 million in addition to $5.5 million held in escrow, which vest over the eighteen-month period. The performance-based incentive plan is contingent upon the achievement of certain revenue and other performance targets by the acquired business and the continued employment of such key employees between 2023 and 2025. Such plan became effective at the closing of the transaction. In August 2024, $4.2 million of the incentive plan was modified to be contingent solely upon continued employment. All of the compensation under the plan has been paid as of March 2026.</w:t>
      </w:r>
    </w:p>
    <w:p>
      <w:pPr>
        <w:pStyle w:val="TextBody"/>
        <w:bidi w:val="0"/>
        <w:spacing w:lineRule="auto" w:line="333"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Unsolicited Non-Binding Expression of Interest from Controlling Shareholder</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2026, the Company received a non-binding expression of interest from DoubleU Games Co. Ltd., its controlling shareholder, to acquire all outstanding common shares (including American Depositary Shares) not already owned by DoubleU Games for $11.25 per ADS in cash. The special committee of independent directors, together with its independent legal and financial advisors, continues to evaluate the proposal. Any potential transaction remains subject to applicable regulatory approvals, governmental and other required approvals, and the outcome of negotiations between the parties. Accordingly, the structure and terms of any such transaction may change, or no definitive transaction may ultimately be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0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319"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14.1.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Our related party transactions comprise of expenses for use of intellectual property, borrowings, and sublease. We may also incur other expenses with related parties in the ordinary course of business, which are included in the condensed consolidated interim financial statements. We have the following related parties during the six months ended June 30, 2026 and 2025:</w:t>
      </w:r>
    </w:p>
    <w:tbl>
      <w:tblPr>
        <w:tblW w:w="4243" w:type="dxa"/>
        <w:jc w:val="left"/>
        <w:tblInd w:w="0" w:type="dxa"/>
        <w:tblLayout w:type="fixed"/>
        <w:tblCellMar>
          <w:top w:w="28" w:type="dxa"/>
          <w:left w:w="28" w:type="dxa"/>
          <w:bottom w:w="28" w:type="dxa"/>
          <w:right w:w="28" w:type="dxa"/>
        </w:tblCellMar>
      </w:tblPr>
      <w:tblGrid>
        <w:gridCol w:w="750"/>
        <w:gridCol w:w="658"/>
        <w:gridCol w:w="661"/>
        <w:gridCol w:w="634"/>
        <w:gridCol w:w="634"/>
        <w:gridCol w:w="906"/>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Relationship</w:t>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Company name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Controlling shareholder</w:t>
            </w:r>
          </w:p>
        </w:tc>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DoubleU Games Co., Ltd</w:t>
            </w:r>
          </w:p>
        </w:tc>
      </w:tr>
    </w:tbl>
    <w:p>
      <w:pPr>
        <w:pStyle w:val="TextBody"/>
        <w:bidi w:val="0"/>
        <w:spacing w:lineRule="auto" w:line="333" w:before="200" w:after="283"/>
        <w:ind w:left="0" w:right="0" w:hanging="540"/>
        <w:jc w:val="left"/>
        <w:rPr>
          <w:rFonts w:ascii="Times New Roman;serif" w:hAnsi="Times New Roman;serif"/>
          <w:b/>
          <w:color w:val="000000"/>
          <w:sz w:val="20"/>
        </w:rPr>
      </w:pPr>
      <w:r>
        <w:rPr>
          <w:rFonts w:ascii="Times New Roman;serif" w:hAnsi="Times New Roman;serif"/>
          <w:b/>
          <w:color w:val="000000"/>
          <w:sz w:val="20"/>
        </w:rPr>
        <w:t>14.2.    Transactions with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expenses charged by DoubleU Games (in thousands): </w:t>
      </w:r>
    </w:p>
    <w:tbl>
      <w:tblPr>
        <w:tblW w:w="6741" w:type="dxa"/>
        <w:jc w:val="left"/>
        <w:tblInd w:w="0" w:type="dxa"/>
        <w:tblLayout w:type="fixed"/>
        <w:tblCellMar>
          <w:top w:w="28" w:type="dxa"/>
          <w:left w:w="28" w:type="dxa"/>
          <w:bottom w:w="28" w:type="dxa"/>
          <w:right w:w="28" w:type="dxa"/>
        </w:tblCellMar>
      </w:tblPr>
      <w:tblGrid>
        <w:gridCol w:w="538"/>
        <w:gridCol w:w="471"/>
        <w:gridCol w:w="475"/>
        <w:gridCol w:w="289"/>
        <w:gridCol w:w="844"/>
        <w:gridCol w:w="149"/>
        <w:gridCol w:w="289"/>
        <w:gridCol w:w="844"/>
        <w:gridCol w:w="149"/>
        <w:gridCol w:w="109"/>
        <w:gridCol w:w="109"/>
        <w:gridCol w:w="109"/>
        <w:gridCol w:w="260"/>
        <w:gridCol w:w="761"/>
        <w:gridCol w:w="134"/>
        <w:gridCol w:w="260"/>
        <w:gridCol w:w="761"/>
        <w:gridCol w:w="190"/>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expense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240"/>
        <w:jc w:val="left"/>
        <w:rPr/>
      </w:pPr>
      <w:r>
        <w:rPr/>
      </w:r>
    </w:p>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14.3    Account balances with related party</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Amounts due to DoubleU Games are as follows (in thousands):</w:t>
      </w:r>
    </w:p>
    <w:tbl>
      <w:tblPr>
        <w:tblW w:w="6418" w:type="dxa"/>
        <w:jc w:val="left"/>
        <w:tblInd w:w="0" w:type="dxa"/>
        <w:tblLayout w:type="fixed"/>
        <w:tblCellMar>
          <w:top w:w="28" w:type="dxa"/>
          <w:left w:w="28" w:type="dxa"/>
          <w:bottom w:w="28" w:type="dxa"/>
          <w:right w:w="28" w:type="dxa"/>
        </w:tblCellMar>
      </w:tblPr>
      <w:tblGrid>
        <w:gridCol w:w="1223"/>
        <w:gridCol w:w="1074"/>
        <w:gridCol w:w="1078"/>
        <w:gridCol w:w="287"/>
        <w:gridCol w:w="839"/>
        <w:gridCol w:w="148"/>
        <w:gridCol w:w="380"/>
        <w:gridCol w:w="1110"/>
        <w:gridCol w:w="279"/>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400" w:after="283"/>
        <w:ind w:left="0" w:right="0" w:hanging="540"/>
        <w:jc w:val="both"/>
        <w:rPr>
          <w:rFonts w:ascii="Times New Roman;serif" w:hAnsi="Times New Roman;serif"/>
          <w:b/>
          <w:color w:val="000000"/>
          <w:sz w:val="20"/>
        </w:rPr>
      </w:pPr>
      <w:r>
        <w:rPr>
          <w:rFonts w:ascii="Times New Roman;serif" w:hAnsi="Times New Roman;serif"/>
          <w:b/>
          <w:color w:val="000000"/>
          <w:sz w:val="20"/>
        </w:rPr>
        <w:t>14.4.    Borrowing transactions with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our borrowing transactions with DoubleU Games are as follows (in thousands):</w:t>
      </w:r>
    </w:p>
    <w:tbl>
      <w:tblPr>
        <w:tblW w:w="7753" w:type="dxa"/>
        <w:jc w:val="left"/>
        <w:tblInd w:w="0" w:type="dxa"/>
        <w:tblLayout w:type="fixed"/>
        <w:tblCellMar>
          <w:top w:w="28" w:type="dxa"/>
          <w:left w:w="28" w:type="dxa"/>
          <w:bottom w:w="28" w:type="dxa"/>
          <w:right w:w="28" w:type="dxa"/>
        </w:tblCellMar>
      </w:tblPr>
      <w:tblGrid>
        <w:gridCol w:w="1707"/>
        <w:gridCol w:w="1497"/>
        <w:gridCol w:w="1505"/>
        <w:gridCol w:w="258"/>
        <w:gridCol w:w="883"/>
        <w:gridCol w:w="133"/>
        <w:gridCol w:w="344"/>
        <w:gridCol w:w="1175"/>
        <w:gridCol w:w="251"/>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4.6% Senior notes with related party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4.6% Senior Notes with related party</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85" w:type="dxa"/>
        <w:jc w:val="left"/>
        <w:tblInd w:w="0" w:type="dxa"/>
        <w:tblLayout w:type="fixed"/>
        <w:tblCellMar>
          <w:top w:w="28" w:type="dxa"/>
          <w:left w:w="28" w:type="dxa"/>
          <w:bottom w:w="28" w:type="dxa"/>
          <w:right w:w="28" w:type="dxa"/>
        </w:tblCellMar>
      </w:tblPr>
      <w:tblGrid>
        <w:gridCol w:w="516"/>
        <w:gridCol w:w="452"/>
        <w:gridCol w:w="456"/>
        <w:gridCol w:w="427"/>
        <w:gridCol w:w="427"/>
        <w:gridCol w:w="427"/>
        <w:gridCol w:w="427"/>
        <w:gridCol w:w="427"/>
        <w:gridCol w:w="430"/>
        <w:gridCol w:w="109"/>
        <w:gridCol w:w="109"/>
        <w:gridCol w:w="109"/>
        <w:gridCol w:w="368"/>
        <w:gridCol w:w="368"/>
        <w:gridCol w:w="368"/>
        <w:gridCol w:w="368"/>
        <w:gridCol w:w="368"/>
        <w:gridCol w:w="529"/>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540"/>
        <w:jc w:val="left"/>
        <w:rPr/>
      </w:pPr>
      <w:r>
        <w:rPr/>
      </w:r>
    </w:p>
    <w:p>
      <w:pPr>
        <w:pStyle w:val="TextBody"/>
        <w:bidi w:val="0"/>
        <w:spacing w:lineRule="auto" w:line="333" w:before="400" w:after="283"/>
        <w:jc w:val="left"/>
        <w:rPr>
          <w:rFonts w:ascii="Times New Roman;serif" w:hAnsi="Times New Roman;serif"/>
          <w:b/>
          <w:color w:val="000000"/>
          <w:sz w:val="20"/>
        </w:rPr>
      </w:pPr>
      <w:r>
        <w:rPr>
          <w:rFonts w:ascii="Times New Roman;serif" w:hAnsi="Times New Roman;serif"/>
          <w:b/>
          <w:color w:val="000000"/>
          <w:sz w:val="20"/>
        </w:rPr>
        <w:t>14.5.    Lease transactions with related party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our lease with DoubleU Games are as follows (in thousands):</w:t>
      </w:r>
    </w:p>
    <w:tbl>
      <w:tblPr>
        <w:tblW w:w="4693" w:type="dxa"/>
        <w:jc w:val="left"/>
        <w:tblInd w:w="0" w:type="dxa"/>
        <w:tblLayout w:type="fixed"/>
        <w:tblCellMar>
          <w:top w:w="28" w:type="dxa"/>
          <w:left w:w="28" w:type="dxa"/>
          <w:bottom w:w="28" w:type="dxa"/>
          <w:right w:w="28" w:type="dxa"/>
        </w:tblCellMar>
      </w:tblPr>
      <w:tblGrid>
        <w:gridCol w:w="597"/>
        <w:gridCol w:w="525"/>
        <w:gridCol w:w="528"/>
        <w:gridCol w:w="287"/>
        <w:gridCol w:w="839"/>
        <w:gridCol w:w="148"/>
        <w:gridCol w:w="380"/>
        <w:gridCol w:w="1110"/>
        <w:gridCol w:w="27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57" w:type="dxa"/>
        <w:jc w:val="left"/>
        <w:tblInd w:w="0" w:type="dxa"/>
        <w:tblLayout w:type="fixed"/>
        <w:tblCellMar>
          <w:top w:w="28" w:type="dxa"/>
          <w:left w:w="28" w:type="dxa"/>
          <w:bottom w:w="28" w:type="dxa"/>
          <w:right w:w="28" w:type="dxa"/>
        </w:tblCellMar>
      </w:tblPr>
      <w:tblGrid>
        <w:gridCol w:w="543"/>
        <w:gridCol w:w="478"/>
        <w:gridCol w:w="479"/>
        <w:gridCol w:w="344"/>
        <w:gridCol w:w="760"/>
        <w:gridCol w:w="177"/>
        <w:gridCol w:w="344"/>
        <w:gridCol w:w="760"/>
        <w:gridCol w:w="177"/>
        <w:gridCol w:w="109"/>
        <w:gridCol w:w="109"/>
        <w:gridCol w:w="109"/>
        <w:gridCol w:w="309"/>
        <w:gridCol w:w="683"/>
        <w:gridCol w:w="159"/>
        <w:gridCol w:w="309"/>
        <w:gridCol w:w="683"/>
        <w:gridCol w:w="225"/>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00" w:after="283"/>
        <w:ind w:left="0" w:right="0" w:hanging="396"/>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15.1.    Segment reporting</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 maker, our Chief Executive Officer, in making decisions regarding resource allocation and assessing performance. Total assets and liabilities for each segment are not reported to our Chief Executive Officer. We operate in the following business segments: social casino games and iGaming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833"/>
        <w:gridCol w:w="1582"/>
        <w:gridCol w:w="1588"/>
        <w:gridCol w:w="254"/>
        <w:gridCol w:w="868"/>
        <w:gridCol w:w="131"/>
        <w:gridCol w:w="254"/>
        <w:gridCol w:w="868"/>
        <w:gridCol w:w="131"/>
        <w:gridCol w:w="109"/>
        <w:gridCol w:w="109"/>
        <w:gridCol w:w="109"/>
        <w:gridCol w:w="213"/>
        <w:gridCol w:w="836"/>
        <w:gridCol w:w="109"/>
        <w:gridCol w:w="213"/>
        <w:gridCol w:w="836"/>
        <w:gridCol w:w="162"/>
      </w:tblGrid>
      <w:tr>
        <w:trPr/>
        <w:tc>
          <w:tcPr>
            <w:tcW w:w="183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eastAsia="Times New Roman;serif"/>
                <w:b w:val="false"/>
                <w:color w:val="000000"/>
                <w:sz w:val="20"/>
              </w:rPr>
            </w:pPr>
            <w:r>
              <w:rPr>
                <w:rFonts w:eastAsia="Times New Roman;serif"/>
                <w:b w:val="false"/>
                <w:color w:val="000000"/>
                <w:sz w:val="20"/>
              </w:rPr>
              <w:t>　</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advertising expenses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(including right-of-use assets): </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(including right-of-use assets)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before income tax:</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Social casino games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iGaming</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profit before income tax</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20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15.2.    Disaggregation of revenue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business operations are located in domestic and international regions, including the United States. We believe disaggregation of our revenue based on geographic location from which revenue is generated are appropriate categories that depict how the nature, amount, timing, and uncertainty of revenue and cash flows are affected by economic factors. The following table presents our revenue disaggregated based on geographic location (in thousands):</w:t>
      </w:r>
    </w:p>
    <w:tbl>
      <w:tblPr>
        <w:tblW w:w="6912" w:type="dxa"/>
        <w:jc w:val="left"/>
        <w:tblInd w:w="0" w:type="dxa"/>
        <w:tblLayout w:type="fixed"/>
        <w:tblCellMar>
          <w:top w:w="28" w:type="dxa"/>
          <w:left w:w="28" w:type="dxa"/>
          <w:bottom w:w="28" w:type="dxa"/>
          <w:right w:w="28" w:type="dxa"/>
        </w:tblCellMar>
      </w:tblPr>
      <w:tblGrid>
        <w:gridCol w:w="596"/>
        <w:gridCol w:w="521"/>
        <w:gridCol w:w="534"/>
        <w:gridCol w:w="260"/>
        <w:gridCol w:w="888"/>
        <w:gridCol w:w="134"/>
        <w:gridCol w:w="260"/>
        <w:gridCol w:w="888"/>
        <w:gridCol w:w="134"/>
        <w:gridCol w:w="109"/>
        <w:gridCol w:w="109"/>
        <w:gridCol w:w="109"/>
        <w:gridCol w:w="214"/>
        <w:gridCol w:w="838"/>
        <w:gridCol w:w="110"/>
        <w:gridCol w:w="214"/>
        <w:gridCol w:w="838"/>
        <w:gridCol w:w="156"/>
      </w:tblGrid>
      <w:tr>
        <w:trPr/>
        <w:tc>
          <w:tcPr>
            <w:tcW w:w="5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International-other</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rFonts w:ascii="Times New Roman;serif" w:hAnsi="Times New Roman;serif"/>
          <w:b/>
          <w:color w:val="000000"/>
          <w:sz w:val="20"/>
        </w:rPr>
      </w:pPr>
      <w:r>
        <w:rPr>
          <w:rFonts w:ascii="Times New Roman;serif" w:hAnsi="Times New Roman;serif"/>
          <w:b/>
          <w:color w:val="000000"/>
          <w:sz w:val="20"/>
        </w:rPr>
        <w:t>15.3.    Major external customers</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 individual external customer accounted for more than 10% of consolidated revenue for each of the six months ended June 30, 2026 and 2025.</w:t>
      </w:r>
    </w:p>
    <w:p>
      <w:pPr>
        <w:pStyle w:val="TextBody"/>
        <w:bidi w:val="0"/>
        <w:spacing w:before="240" w:after="283"/>
        <w:ind w:left="0" w:right="0" w:firstLine="490"/>
        <w:jc w:val="left"/>
        <w:rPr/>
      </w:pPr>
      <w:r>
        <w:rPr/>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before="0" w:after="240"/>
        <w:jc w:val="left"/>
        <w:rPr/>
      </w:pPr>
      <w:r>
        <w:rPr/>
      </w:r>
    </w:p>
    <w:p>
      <w:pPr>
        <w:pStyle w:val="TextBody"/>
        <w:bidi w:val="0"/>
        <w:spacing w:lineRule="auto" w:line="333" w:before="0" w:after="240"/>
        <w:jc w:val="left"/>
        <w:rPr>
          <w:rFonts w:ascii="Times New Roman;serif" w:hAnsi="Times New Roman;serif"/>
          <w:b/>
          <w:color w:val="000000"/>
          <w:sz w:val="20"/>
        </w:rPr>
      </w:pPr>
      <w:r>
        <w:rPr>
          <w:rFonts w:ascii="Times New Roman;serif" w:hAnsi="Times New Roman;serif"/>
          <w:b/>
          <w:color w:val="000000"/>
          <w:sz w:val="20"/>
        </w:rPr>
        <w:t>16. Acquisition</w:t>
      </w:r>
    </w:p>
    <w:p>
      <w:pPr>
        <w:pStyle w:val="TextBody"/>
        <w:bidi w:val="0"/>
        <w:spacing w:lineRule="auto" w:line="333" w:before="0" w:after="240"/>
        <w:jc w:val="left"/>
        <w:rPr/>
      </w:pPr>
      <w:r>
        <w:rPr>
          <w:rFonts w:ascii="Times New Roman;serif" w:hAnsi="Times New Roman;serif"/>
          <w:b/>
          <w:i/>
          <w:color w:val="000000"/>
          <w:sz w:val="20"/>
        </w:rPr>
        <w:t xml:space="preserve">Business Combination </w:t>
      </w:r>
      <w:r>
        <w:rPr>
          <w:color w:val="000000"/>
          <w:shd w:fill="FFFFFF" w:val="clear"/>
        </w:rPr>
        <w:t>–</w:t>
      </w:r>
      <w:r>
        <w:rPr>
          <w:color w:val="000000"/>
        </w:rPr>
        <w:t xml:space="preserve"> </w:t>
      </w:r>
      <w:r>
        <w:rPr>
          <w:rFonts w:ascii="Times New Roman;serif" w:hAnsi="Times New Roman;serif"/>
          <w:b/>
          <w:i/>
          <w:color w:val="000000"/>
          <w:sz w:val="20"/>
        </w:rPr>
        <w:t>WHOW Games</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On July 14, 2025, the Company completed its acquisition of WHOW Games GmbH (“WHOW Games”), a German casino game operator, which is now a direct, wholly-owned subsidiary of DDI-US. The results of operations of WHOW Games have been included in the consolidated financial statements from the acquisition date. Accordingly, the acquisition effect should be considered when comparing the Company’s consolidated financial statements as of and for the six months ended June 30, 2026 and 2025.</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the Company recognized certain goodwill and intangible assets. For further details of the business combination, please refer to Note 30 to the consolidated financial statements as of and for the year ended December 31, 2025 contained in the Company’s Annual Report on Form 20-F filed with the SEC on March 31, 2026.</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9385</Words>
  <Characters>51705</Characters>
  <CharactersWithSpaces>59759</CharactersWithSpaces>
  <Paragraphs>2532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