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1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4"/>
          <w:szCs w:val="24"/>
          <w:color w:val="auto"/>
        </w:rPr>
      </w:pPr>
    </w:p>
    <w:p>
      <w:pPr>
        <w:jc w:val="center"/>
        <w:ind w:left="2460" w:right="840"/>
        <w:spacing w:after="0" w:line="259"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001-39349</w:t>
      </w:r>
    </w:p>
    <w:p>
      <w:pPr>
        <w:spacing w:after="0" w:line="12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DoubleDown Interactive Co., Ltd.</w:t>
      </w:r>
    </w:p>
    <w:p>
      <w:pPr>
        <w:spacing w:after="0" w:line="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9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Joseph A. Sigrist, Chief Financial Officer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Double Down Interactive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6671 S. Las Vegas Blvd.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D, Suite 210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Las Vegas, NV 89119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'+1-702-761-6899</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4"/>
          <w:szCs w:val="24"/>
          <w:color w:val="auto"/>
        </w:rPr>
      </w:pPr>
    </w:p>
    <w:p>
      <w:pPr>
        <w:ind w:right="1639"/>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Form 20-F </w:t>
      </w:r>
      <w:r>
        <w:rPr>
          <w:rFonts w:ascii="Wingdings" w:cs="Wingdings" w:eastAsia="Wingdings" w:hAnsi="Wingdings"/>
          <w:sz w:val="18"/>
          <w:szCs w:val="18"/>
          <w:b w:val="1"/>
          <w:bCs w:val="1"/>
          <w:color w:val="auto"/>
        </w:rPr>
        <w:t xml:space="preserve"> o</w:t>
      </w:r>
      <w:r>
        <w:rPr>
          <w:rFonts w:ascii="Times New Roman" w:cs="Times New Roman" w:eastAsia="Times New Roman" w:hAnsi="Times New Roman"/>
          <w:sz w:val="18"/>
          <w:szCs w:val="18"/>
          <w:color w:val="auto"/>
        </w:rPr>
        <w:t xml:space="preserve">  Form40-F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 of Press Release</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May 12, 2026, DoubleDown Interactive Co.,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unaudited financial results for the first quarter ended March 31, 2026, together with its unaudited condensed consolidated interim financial statements for the three months ended March 31, 2026.</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into the Company’s Registration Statement on Form F-3 (File No. 333-290402), to be a part thereof from the date on which this report is submitted, to the extent not superseded by documents or reports subsequently filed or furnished.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0"/>
        </w:trPr>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0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101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Press release of the Company, dated May 12, 2026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interim financial statements of the Company for the three months ended March 31, 2026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5"/>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6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033"/>
        </w:trPr>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8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DOUBLEDOWN INTERACTIVE CO., LTD.</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12, 2026</w:t>
      </w:r>
    </w:p>
    <w:p>
      <w:pPr>
        <w:spacing w:after="0" w:line="318" w:lineRule="exact"/>
        <w:rPr>
          <w:sz w:val="20"/>
          <w:szCs w:val="20"/>
          <w:color w:val="auto"/>
        </w:rPr>
      </w:pPr>
    </w:p>
    <w:p>
      <w:pPr>
        <w:ind w:left="5340"/>
        <w:spacing w:after="0"/>
        <w:tabs>
          <w:tab w:leader="none" w:pos="5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A. Sigrist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27305</wp:posOffset>
            </wp:positionV>
            <wp:extent cx="3402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Joseph A. Sigrist</w:t>
      </w:r>
    </w:p>
    <w:p>
      <w:pPr>
        <w:spacing w:after="0" w:line="5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720"/>
          </w:cols>
          <w:pgMar w:left="320" w:top="1440"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17370" cy="1139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737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DoubleDown Interactive First Quarter 2026 Revenue Rises 12.7%</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and Earnings per Fully Diluted Common Share Increases 48.4%</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SEOUL, KOREA – May 12, 2026 — DoubleDown Interactive Co., Ltd. (NASDAQ: DDI) (“DoubleDown” or the “Company”), a leading developer and publisher of digital games on mobile and web-based platforms, today announced unaudited financial results for the first quarter ended March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vs. First Quarter 2025 Summary:</w:t>
      </w:r>
    </w:p>
    <w:p>
      <w:pPr>
        <w:spacing w:after="0" w:line="121" w:lineRule="exact"/>
        <w:rPr>
          <w:sz w:val="20"/>
          <w:szCs w:val="20"/>
          <w:color w:val="auto"/>
        </w:rPr>
      </w:pPr>
    </w:p>
    <w:p>
      <w:pPr>
        <w:ind w:left="900" w:hanging="40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rose 12.7% to $94.1 million in the first quarter of 2026 compared to $83.5 million in the first quarter of 2025.</w:t>
      </w:r>
    </w:p>
    <w:p>
      <w:pPr>
        <w:spacing w:after="0" w:line="117" w:lineRule="exact"/>
        <w:rPr>
          <w:rFonts w:ascii="Times New Roman" w:cs="Times New Roman" w:eastAsia="Times New Roman" w:hAnsi="Times New Roman"/>
          <w:sz w:val="18"/>
          <w:szCs w:val="18"/>
          <w:color w:val="auto"/>
        </w:rPr>
      </w:pPr>
    </w:p>
    <w:p>
      <w:pPr>
        <w:ind w:left="1540" w:hanging="398"/>
        <w:spacing w:after="0" w:line="252" w:lineRule="auto"/>
        <w:tabs>
          <w:tab w:leader="none" w:pos="153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Company’s social casino/free-to-play games was $76.9 million in the first quarter of 2026, a 9.5% increase from the first quarter of 2025. The increase was primarily due to the contribution of revenue from WHOW Games GmbH (“WHOW Games”), which was acquired by the Company in July 2025.</w:t>
      </w:r>
    </w:p>
    <w:p>
      <w:pPr>
        <w:spacing w:after="0" w:line="2" w:lineRule="exact"/>
        <w:rPr>
          <w:rFonts w:ascii="Times New Roman" w:cs="Times New Roman" w:eastAsia="Times New Roman" w:hAnsi="Times New Roman"/>
          <w:sz w:val="18"/>
          <w:szCs w:val="18"/>
          <w:color w:val="auto"/>
        </w:rPr>
      </w:pPr>
    </w:p>
    <w:p>
      <w:pPr>
        <w:ind w:left="1540" w:right="80" w:hanging="398"/>
        <w:spacing w:after="0" w:line="219" w:lineRule="auto"/>
        <w:tabs>
          <w:tab w:leader="none" w:pos="153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(“DTC”)</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revenue rose to $34.0 million in the first quarter of 2026, compared to $9.0 million in the first quarter of 2025. DTC revenue as a percentage of total social casino revenue increased to 44.2% in the first quarter of 2026 from 12.8% in the first quarter of 2025.</w:t>
      </w:r>
    </w:p>
    <w:p>
      <w:pPr>
        <w:spacing w:after="0" w:line="76" w:lineRule="exact"/>
        <w:rPr>
          <w:rFonts w:ascii="Times New Roman" w:cs="Times New Roman" w:eastAsia="Times New Roman" w:hAnsi="Times New Roman"/>
          <w:sz w:val="18"/>
          <w:szCs w:val="18"/>
          <w:color w:val="auto"/>
        </w:rPr>
      </w:pPr>
    </w:p>
    <w:p>
      <w:pPr>
        <w:ind w:left="1540" w:right="100" w:hanging="398"/>
        <w:spacing w:after="0" w:line="282" w:lineRule="auto"/>
        <w:tabs>
          <w:tab w:leader="none" w:pos="153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 from SuprNation, the Company’s iGaming subsidiary, increased 30.0% year over year to $17.2 million, primarily as a result of the Company’s launch of a new brand, </w:t>
      </w:r>
      <w:r>
        <w:rPr>
          <w:rFonts w:ascii="Times New Roman" w:cs="Times New Roman" w:eastAsia="Times New Roman" w:hAnsi="Times New Roman"/>
          <w:sz w:val="18"/>
          <w:szCs w:val="18"/>
          <w:i w:val="1"/>
          <w:iCs w:val="1"/>
          <w:color w:val="auto"/>
        </w:rPr>
        <w:t>Los Vegas,</w:t>
      </w:r>
      <w:r>
        <w:rPr>
          <w:rFonts w:ascii="Times New Roman" w:cs="Times New Roman" w:eastAsia="Times New Roman" w:hAnsi="Times New Roman"/>
          <w:sz w:val="18"/>
          <w:szCs w:val="18"/>
          <w:color w:val="auto"/>
        </w:rPr>
        <w:t xml:space="preserve"> in October 2025.</w:t>
      </w:r>
    </w:p>
    <w:p>
      <w:pPr>
        <w:spacing w:after="0" w:line="53" w:lineRule="exact"/>
        <w:rPr>
          <w:rFonts w:ascii="Times New Roman" w:cs="Times New Roman" w:eastAsia="Times New Roman" w:hAnsi="Times New Roman"/>
          <w:sz w:val="18"/>
          <w:szCs w:val="18"/>
          <w:color w:val="auto"/>
        </w:rPr>
      </w:pPr>
    </w:p>
    <w:p>
      <w:pPr>
        <w:ind w:left="900" w:right="180" w:hanging="406"/>
        <w:spacing w:after="0" w:line="282"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were $58.7 million in the first quarter of 2026 compared to $53.9 million in the first quarter of 2025, primarily due to the inclusion of operating expenses of WHOW Games.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 the interim period (excluding non-controlling interest) rose 48.4% to $35.4 million, or earnings per fully diluted common share of</w:t>
      </w:r>
    </w:p>
    <w:p>
      <w:pPr>
        <w:spacing w:after="0" w:line="27" w:lineRule="exact"/>
        <w:rPr>
          <w:rFonts w:ascii="Times New Roman" w:cs="Times New Roman" w:eastAsia="Times New Roman" w:hAnsi="Times New Roman"/>
          <w:sz w:val="18"/>
          <w:szCs w:val="18"/>
          <w:color w:val="auto"/>
        </w:rPr>
      </w:pPr>
    </w:p>
    <w:p>
      <w:pPr>
        <w:ind w:left="90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$14.28 ($0.71 per American Depositary Share (“ADS”)), in the first quarter of 2026, compared to profit for the interim period (excluding non-controlling interest) of $23.8 million, or earnings per fully diluted common share of $9.62 ($0.48 per ADS), in the first quarter of 2025.</w:t>
      </w:r>
    </w:p>
    <w:p>
      <w:pPr>
        <w:spacing w:after="0" w:line="73" w:lineRule="exact"/>
        <w:rPr>
          <w:rFonts w:ascii="Times New Roman" w:cs="Times New Roman" w:eastAsia="Times New Roman" w:hAnsi="Times New Roman"/>
          <w:sz w:val="18"/>
          <w:szCs w:val="18"/>
          <w:color w:val="auto"/>
        </w:rPr>
      </w:pPr>
    </w:p>
    <w:p>
      <w:pPr>
        <w:ind w:left="1540" w:right="100" w:hanging="398"/>
        <w:spacing w:after="0" w:line="266" w:lineRule="auto"/>
        <w:tabs>
          <w:tab w:leader="none" w:pos="153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primarily due to higher revenue and higher unrealized gain on foreign currency, partially offset by higher overall operating expenses, which was primarily due to the inclusion of WHOW Games, and increased costs associated with revenue growth from SuprNation.</w:t>
      </w:r>
    </w:p>
    <w:p>
      <w:pPr>
        <w:spacing w:after="0" w:line="67"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0.05 share of a common share.</w:t>
      </w:r>
    </w:p>
    <w:p>
      <w:pPr>
        <w:spacing w:after="0" w:line="117" w:lineRule="exact"/>
        <w:rPr>
          <w:rFonts w:ascii="Times New Roman" w:cs="Times New Roman" w:eastAsia="Times New Roman" w:hAnsi="Times New Roman"/>
          <w:sz w:val="18"/>
          <w:szCs w:val="18"/>
          <w:color w:val="auto"/>
        </w:rPr>
      </w:pPr>
    </w:p>
    <w:p>
      <w:pPr>
        <w:ind w:left="1540" w:right="340" w:hanging="398"/>
        <w:spacing w:after="0" w:line="282" w:lineRule="auto"/>
        <w:tabs>
          <w:tab w:leader="none" w:pos="153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rose 24.0% to $38.2 million for the first quarter of 2026 compared to $30.8 million in the first quarter of 2025. Adjusted EBITDA margin was 40.6% in the first quarter of 2026 compared to 36.9% in the first quarter of 2025.</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2025, social casino KPIs are inclusive of those from WHOW Games.</w:t>
      </w:r>
    </w:p>
    <w:p>
      <w:pPr>
        <w:spacing w:after="0" w:line="117" w:lineRule="exact"/>
        <w:rPr>
          <w:rFonts w:ascii="Times New Roman" w:cs="Times New Roman" w:eastAsia="Times New Roman" w:hAnsi="Times New Roman"/>
          <w:sz w:val="18"/>
          <w:szCs w:val="18"/>
          <w:color w:val="auto"/>
        </w:rPr>
      </w:pPr>
    </w:p>
    <w:p>
      <w:pPr>
        <w:ind w:left="1540" w:right="180" w:hanging="398"/>
        <w:spacing w:after="0" w:line="282" w:lineRule="auto"/>
        <w:tabs>
          <w:tab w:leader="none" w:pos="153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Payer Conversion ratio for the Company’s social casino/free-to-play games increased to 9.7% in the first quarter of 2026 from 6.9% in the first quarter of 2025, primarily as a result of the inclusion of WHOW Games, which has a higher Payer Conversion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0" w:lineRule="exact"/>
        <w:rPr>
          <w:sz w:val="20"/>
          <w:szCs w:val="20"/>
          <w:color w:val="auto"/>
        </w:rPr>
      </w:pPr>
    </w:p>
    <w:p>
      <w:pPr>
        <w:ind w:right="20" w:firstLine="8"/>
        <w:spacing w:after="0" w:line="204" w:lineRule="auto"/>
        <w:tabs>
          <w:tab w:leader="none" w:pos="138" w:val="left"/>
        </w:tabs>
        <w:numPr>
          <w:ilvl w:val="0"/>
          <w:numId w:val="2"/>
        </w:numPr>
        <w:rPr>
          <w:rFonts w:ascii="Arial" w:cs="Arial" w:eastAsia="Arial" w:hAnsi="Arial"/>
          <w:sz w:val="28"/>
          <w:szCs w:val="28"/>
          <w:color w:val="auto"/>
          <w:vertAlign w:val="superscript"/>
        </w:rPr>
      </w:pPr>
      <w:r>
        <w:rPr>
          <w:rFonts w:ascii="Times New Roman" w:cs="Times New Roman" w:eastAsia="Times New Roman" w:hAnsi="Times New Roman"/>
          <w:sz w:val="18"/>
          <w:szCs w:val="18"/>
          <w:color w:val="auto"/>
        </w:rPr>
        <w:t>Direct-to-Consumer revenue represents revenue from purchases made through Company-owned channels, including web storefront transactions and other direct payment flows.</w:t>
      </w:r>
    </w:p>
    <w:p>
      <w:pPr>
        <w:sectPr>
          <w:pgSz w:w="11900" w:h="16838" w:orient="portrait"/>
          <w:cols w:equalWidth="0" w:num="1">
            <w:col w:w="11240"/>
          </w:cols>
          <w:pgMar w:left="320" w:top="927" w:right="339" w:bottom="1440" w:gutter="0" w:footer="0" w:header="0"/>
        </w:sectPr>
      </w:pPr>
    </w:p>
    <w:bookmarkStart w:id="4" w:name="page5"/>
    <w:bookmarkEnd w:id="4"/>
    <w:p>
      <w:pPr>
        <w:ind w:left="1540" w:right="160" w:hanging="398"/>
        <w:spacing w:after="0" w:line="266" w:lineRule="auto"/>
        <w:tabs>
          <w:tab w:leader="none" w:pos="15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Daily Active User (“ARPDAU”) for the Company’s social casino/free-to-play games increased to $1.34 in the first quarter of 2026 from $1.29 in the first quarter of 2025, primarily as a result of the inclusion of WHOW Games, which has a higher ARPDAU.</w:t>
      </w:r>
    </w:p>
    <w:p>
      <w:pPr>
        <w:spacing w:after="0" w:line="67" w:lineRule="exact"/>
        <w:rPr>
          <w:rFonts w:ascii="Times New Roman" w:cs="Times New Roman" w:eastAsia="Times New Roman" w:hAnsi="Times New Roman"/>
          <w:sz w:val="18"/>
          <w:szCs w:val="18"/>
          <w:color w:val="auto"/>
        </w:rPr>
      </w:pPr>
    </w:p>
    <w:p>
      <w:pPr>
        <w:ind w:left="1540" w:right="140" w:hanging="398"/>
        <w:spacing w:after="0" w:line="312" w:lineRule="auto"/>
        <w:tabs>
          <w:tab w:leader="none" w:pos="153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 per payer for the social casino/free-to-play games decreased to $207 in the first quarter of 2026 from $276 in the first quarter of 2025, primarily as a result of the inclusion of WHOW Games, which has a lower average revenue per payer.</w:t>
      </w:r>
    </w:p>
    <w:p>
      <w:pPr>
        <w:spacing w:after="0" w:line="31" w:lineRule="exact"/>
        <w:rPr>
          <w:rFonts w:ascii="Times New Roman" w:cs="Times New Roman" w:eastAsia="Times New Roman" w:hAnsi="Times New Roman"/>
          <w:sz w:val="17"/>
          <w:szCs w:val="17"/>
          <w:color w:val="auto"/>
        </w:rPr>
      </w:pPr>
    </w:p>
    <w:p>
      <w:pPr>
        <w:ind w:left="900" w:right="200" w:hanging="406"/>
        <w:spacing w:after="0" w:line="282"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flows from operating activities increased to $46.4 million in the first quarter of 2026 from $41.1 million in the first quarter of 2025. The increase is primarily due to higher operating profit and lower income taxes paid.</w:t>
      </w:r>
    </w:p>
    <w:p>
      <w:pPr>
        <w:spacing w:after="0" w:line="17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“Our first quarter results demonstrate a solid start to 2026 as we continue to execute on our strategic initiatives to expand and diversify the company across products and geographies, said In Keuk Kim, Chief Executive Officer at DoubleDown. We achieved year-over-year quarterly revenue growth in both our social casino and iGaming segments. The growth in social casino reflects revenue contributions from WHOW Games, while Direct-to-Consumer revenue in this segment continued to grow, accounting for over 40% of total social casino revenue. SuprNation, our iGaming operation, reached its highest quarterly revenue since its acquisition in 2023, driven by the recent launch of the 'Los Vegas' brand.</w:t>
      </w:r>
    </w:p>
    <w:p>
      <w:pPr>
        <w:spacing w:after="0" w:line="225"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“Our ability to consistently drive a high conversion of revenue to cash flow remains a top operating priority, and resulted in $46.4 million of net cash flow from operations in the first quarter. DoubleDown's balance sheet remains solid, providing us with financial flexibility to pursue additional value-building transactions that can further diversify our revenue sources and geographic footprint.”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Operating Results for DoubleDown Interactive (Unaudited)</w:t>
            </w: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72"/>
        </w:trPr>
        <w:tc>
          <w:tcPr>
            <w:tcW w:w="7180" w:type="dxa"/>
            <w:vAlign w:val="bottom"/>
          </w:tcPr>
          <w:p>
            <w:pPr>
              <w:spacing w:after="0"/>
              <w:rPr>
                <w:sz w:val="24"/>
                <w:szCs w:val="24"/>
                <w:color w:val="auto"/>
              </w:rPr>
            </w:pPr>
          </w:p>
        </w:tc>
        <w:tc>
          <w:tcPr>
            <w:tcW w:w="3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4"/>
                <w:szCs w:val="24"/>
                <w:color w:val="auto"/>
              </w:rPr>
            </w:pPr>
          </w:p>
        </w:tc>
      </w:tr>
      <w:tr>
        <w:trPr>
          <w:trHeight w:val="244"/>
        </w:trPr>
        <w:tc>
          <w:tcPr>
            <w:tcW w:w="71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1"/>
                <w:szCs w:val="2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 MM)</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94.1</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 ($ MM)</w:t>
            </w:r>
          </w:p>
        </w:tc>
        <w:tc>
          <w:tcPr>
            <w:tcW w:w="1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(58.7)</w:t>
            </w:r>
          </w:p>
        </w:tc>
        <w:tc>
          <w:tcPr>
            <w:tcW w:w="1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for the interim period (excluding non-controlling interest) ($ MM)</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 MM)</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margin</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r>
      <w:tr>
        <w:trPr>
          <w:trHeight w:val="270"/>
        </w:trPr>
        <w:tc>
          <w:tcPr>
            <w:tcW w:w="7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Non-financial performance metrics</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MAUs (000s)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1,368</w:t>
            </w: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DAUs (000s)</w:t>
            </w:r>
          </w:p>
        </w:tc>
        <w:tc>
          <w:tcPr>
            <w:tcW w:w="13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632</w:t>
            </w:r>
          </w:p>
        </w:tc>
        <w:tc>
          <w:tcPr>
            <w:tcW w:w="13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608</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ARPDAU</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revenue per payer</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conversion</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bl>
    <w:p>
      <w:pPr>
        <w:spacing w:after="0" w:line="252" w:lineRule="exact"/>
        <w:rPr>
          <w:sz w:val="20"/>
          <w:szCs w:val="20"/>
          <w:color w:val="auto"/>
        </w:rPr>
      </w:pPr>
    </w:p>
    <w:p>
      <w:pPr>
        <w:ind w:left="420" w:right="480" w:hanging="412"/>
        <w:spacing w:after="0" w:line="229" w:lineRule="auto"/>
        <w:tabs>
          <w:tab w:leader="none" w:pos="40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Social casino/free-to-play games only. The KPIs for the three months ended March 31, 2026 in the table above are inclusive of WHOW Games, which was acquired on July 14, 2025.</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Unsolicited Non-Binding Expression of Interest from Controlling Shareholder</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refer you to our press release of April 29, 2026, in which we announced that the Company has received a non-binding expression of interest from DoubleU Games Co. Ltd., our controlling shareholder, to acquire all of the outstanding common shares (including American Depositary Shares) not currently owned thereby, at a price of $11.25 per ADS in cash. We noted in that press release that the Company has formed a special committee to evaluate and negotiate with the controlling shareholder and determine the next steps that would be in the best interests of the Company and its unaffiliated shareholders. As a result, while we appreciate there are many questions from our shareholders about this proposal, neither the Company nor its management expect to make any further announcements unless and until the Company or the special</w:t>
      </w:r>
    </w:p>
    <w:p>
      <w:pPr>
        <w:sectPr>
          <w:pgSz w:w="11900" w:h="16838" w:orient="portrait"/>
          <w:cols w:equalWidth="0" w:num="1">
            <w:col w:w="11240"/>
          </w:cols>
          <w:pgMar w:left="320" w:top="1039" w:right="339" w:bottom="1440" w:gutter="0" w:footer="0" w:header="0"/>
        </w:sectPr>
      </w:pPr>
    </w:p>
    <w:bookmarkStart w:id="5" w:name="page6"/>
    <w:bookmarkEnd w:id="5"/>
    <w:p>
      <w:pPr>
        <w:ind w:right="360"/>
        <w:spacing w:after="0" w:line="261" w:lineRule="auto"/>
        <w:rPr>
          <w:sz w:val="20"/>
          <w:szCs w:val="20"/>
          <w:color w:val="auto"/>
        </w:rPr>
      </w:pPr>
      <w:r>
        <w:rPr>
          <w:rFonts w:ascii="Times New Roman" w:cs="Times New Roman" w:eastAsia="Times New Roman" w:hAnsi="Times New Roman"/>
          <w:sz w:val="18"/>
          <w:szCs w:val="18"/>
          <w:color w:val="auto"/>
        </w:rPr>
        <w:t>committee determine otherwise. The communications and inquiries received by the Company from shareholders are being forwarded to the special committee, which (in consultation with its legal and financial advisors) will evaluate as part of its ongoing review and evaluation process. The special committee will handle the transaction and there can be no assurance that a transaction will or will not occur and, if so, on what terms. Meanwhile, the company continues to conduct its business and operations in the ordinary course.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DoubleDown will hold a conference call today (May 12, 2026) at 4:30 p.m. Eastern Time (1:3000 p.m. Pacific Time) to discuss these results. A question-and-answer session will follow management’s presentation.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To access the call, please use the following link: </w:t>
      </w:r>
      <w:r>
        <w:rPr>
          <w:rFonts w:ascii="Times New Roman" w:cs="Times New Roman" w:eastAsia="Times New Roman" w:hAnsi="Times New Roman"/>
          <w:sz w:val="18"/>
          <w:szCs w:val="18"/>
          <w:u w:val="single" w:color="auto"/>
          <w:color w:val="auto"/>
        </w:rPr>
        <w:t>DoubleDown First Quarter 2026 Earnings Call</w:t>
      </w:r>
      <w:r>
        <w:rPr>
          <w:rFonts w:ascii="Times New Roman" w:cs="Times New Roman" w:eastAsia="Times New Roman" w:hAnsi="Times New Roman"/>
          <w:sz w:val="18"/>
          <w:szCs w:val="18"/>
          <w:color w:val="auto"/>
        </w:rPr>
        <w:t>. After registering, an email will be sent, including dial-in details and a unique conference call access code required to join the live call. To ensure you are connected prior to the beginning of the call, please register a minimum of 15 minutes before the start of the call.</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 simultaneous webcast of the conference call will be available with the following link: </w:t>
      </w:r>
      <w:r>
        <w:rPr>
          <w:rFonts w:ascii="Times New Roman" w:cs="Times New Roman" w:eastAsia="Times New Roman" w:hAnsi="Times New Roman"/>
          <w:sz w:val="18"/>
          <w:szCs w:val="18"/>
          <w:u w:val="single" w:color="auto"/>
          <w:color w:val="auto"/>
        </w:rPr>
        <w:t>DoubleDown First Quarter 2026 Earnings Webcast</w:t>
      </w:r>
      <w:r>
        <w:rPr>
          <w:rFonts w:ascii="Times New Roman" w:cs="Times New Roman" w:eastAsia="Times New Roman" w:hAnsi="Times New Roman"/>
          <w:sz w:val="18"/>
          <w:szCs w:val="18"/>
          <w:color w:val="auto"/>
        </w:rPr>
        <w:t>, or via the Investor Relations page of the DoubleDown website at ir.</w:t>
      </w:r>
      <w:r>
        <w:rPr>
          <w:rFonts w:ascii="Times New Roman" w:cs="Times New Roman" w:eastAsia="Times New Roman" w:hAnsi="Times New Roman"/>
          <w:sz w:val="18"/>
          <w:szCs w:val="18"/>
          <w:u w:val="single" w:color="auto"/>
          <w:color w:val="auto"/>
        </w:rPr>
        <w:t>doubledowninteractive.com</w:t>
      </w:r>
      <w:r>
        <w:rPr>
          <w:rFonts w:ascii="Times New Roman" w:cs="Times New Roman" w:eastAsia="Times New Roman" w:hAnsi="Times New Roman"/>
          <w:sz w:val="18"/>
          <w:szCs w:val="18"/>
          <w:color w:val="auto"/>
        </w:rPr>
        <w:t>. For those not planning to ask a question on the conference call, the Company recommends listening via the webcast. A replay will be available on the Company’s Investor Relations website shortly after the event.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DoubleDown Interactive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The Company’s flagship social casino title, </w:t>
      </w:r>
      <w:r>
        <w:rPr>
          <w:rFonts w:ascii="Times New Roman" w:cs="Times New Roman" w:eastAsia="Times New Roman" w:hAnsi="Times New Roman"/>
          <w:sz w:val="18"/>
          <w:szCs w:val="18"/>
          <w:i w:val="1"/>
          <w:iCs w:val="1"/>
          <w:color w:val="auto"/>
        </w:rPr>
        <w:t>DoubleDown Casino</w:t>
      </w:r>
      <w:r>
        <w:rPr>
          <w:rFonts w:ascii="Times New Roman" w:cs="Times New Roman" w:eastAsia="Times New Roman" w:hAnsi="Times New Roman"/>
          <w:sz w:val="18"/>
          <w:szCs w:val="18"/>
          <w:color w:val="auto"/>
        </w:rPr>
        <w:t>, has been a fan-favorite game on leading social and mobile platforms for years, entertaining millions of players worldwide with a lineup of classic and modern games. DoubleDown recently expanded its social casino platform with the acquisition of WHOW Games GmbH, a developer headquartered in Hamburg, Germany. The Company’s subsidiary, SuprNation, also operates three real-money iGaming sites in Western Europe.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Statement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“forward-looking statements” about future events and expectations for purposes of the safe harbor provisions under the United States Private Securities Litigation Reform Act of 1995. Forward-looking statements are based on our beliefs, assumptions, and expectations of industry trends, our future financial and operating performance, and our growth plans, taking into account the information currently available to us. These statements are not statements of historical fact.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Therefore, you should not place undue reliance on such statements. Words such as “anticipates,” believes,” “continues,” “estimates,” “expects,” “goal,” “objectives,” “intends,” “may,” “opportunity,” “plans,” potential,” “near-term,” long-term,” “projections,” “assumptions,” “projects,” “guidance,” “forecasts,” “outlook,” “target,” “trends,” “should,” “could,” “would,” “will,” and similar expressions are intended to identify such forward-looking statements. We qualify any forward-looking statements entirely by these cautionary factors. We assume no obligation to update or revise any forward-looking statements for any reason or to update the reasons actual results could differ materially from those anticipated in these forward-looking statements, even if new information becomes available in the future.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Non-IFRS Financial Measures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IFRS, we believe the following non-IFRS financial measure is useful in evaluating our operating performance. We present “</w:t>
      </w:r>
      <w:r>
        <w:rPr>
          <w:rFonts w:ascii="Times New Roman" w:cs="Times New Roman" w:eastAsia="Times New Roman" w:hAnsi="Times New Roman"/>
          <w:sz w:val="18"/>
          <w:szCs w:val="18"/>
          <w:i w:val="1"/>
          <w:iCs w:val="1"/>
          <w:color w:val="auto"/>
        </w:rPr>
        <w:t>adjusted earnings before interest, taxes, depreciation and amortization</w:t>
      </w:r>
      <w:r>
        <w:rPr>
          <w:rFonts w:ascii="Times New Roman" w:cs="Times New Roman" w:eastAsia="Times New Roman" w:hAnsi="Times New Roman"/>
          <w:sz w:val="18"/>
          <w:szCs w:val="18"/>
          <w:color w:val="auto"/>
        </w:rPr>
        <w:t>” (“Adjusted EBITDA”) because we believe it assists investors and analysts by facilitating comparison of period-to-period operational performance on a consistent basis by excluding items that we do not believe are indicative of our core operating performance. The items excluded from the Adjusted EBITDA may have a material impact on our financial results. Certain of those items are non-recurring, while others are non-cash in nature. Accordingly, the Adjusted EBITDA is presented as supplemental disclosure and should not be considered in isolation of, as a substitute for, or</w:t>
      </w:r>
    </w:p>
    <w:p>
      <w:pPr>
        <w:sectPr>
          <w:pgSz w:w="11900" w:h="16838" w:orient="portrait"/>
          <w:cols w:equalWidth="0" w:num="1">
            <w:col w:w="11160"/>
          </w:cols>
          <w:pgMar w:left="320" w:top="1039" w:right="419" w:bottom="1440" w:gutter="0" w:footer="0" w:header="0"/>
        </w:sectPr>
      </w:pPr>
    </w:p>
    <w:bookmarkStart w:id="6" w:name="page7"/>
    <w:bookmarkEnd w:id="6"/>
    <w:p>
      <w:pPr>
        <w:ind w:right="600"/>
        <w:spacing w:after="0" w:line="282" w:lineRule="auto"/>
        <w:rPr>
          <w:sz w:val="20"/>
          <w:szCs w:val="20"/>
          <w:color w:val="auto"/>
        </w:rPr>
      </w:pPr>
      <w:r>
        <w:rPr>
          <w:rFonts w:ascii="Times New Roman" w:cs="Times New Roman" w:eastAsia="Times New Roman" w:hAnsi="Times New Roman"/>
          <w:sz w:val="18"/>
          <w:szCs w:val="18"/>
          <w:color w:val="auto"/>
        </w:rPr>
        <w:t>superior to, the financial information prepared in accordance with IFRS, and should be read in conjunction with the condensed consolidated interim financial statements furnished in our report on Form 6-K filed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reconciliation from our reported IFRS “profit before income tax” to our Adjusted EBITDA, we eliminate the impact of the following four line items:</w:t>
      </w:r>
    </w:p>
    <w:p>
      <w:pPr>
        <w:spacing w:after="0" w:line="27" w:lineRule="exact"/>
        <w:rPr>
          <w:sz w:val="20"/>
          <w:szCs w:val="20"/>
          <w:color w:val="auto"/>
        </w:rPr>
      </w:pPr>
    </w:p>
    <w:p>
      <w:pPr>
        <w:ind w:right="180" w:firstLine="8"/>
        <w:spacing w:after="0" w:line="260"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(ii) finance income; (iii) finance cost; and (iv) other (income) expense. The below table sets forth the full reconciliation of our non-IFRS measures: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non-IFRS measures</w:t>
            </w:r>
          </w:p>
        </w:tc>
        <w:tc>
          <w:tcPr>
            <w:tcW w:w="4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3"/>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7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480" w:type="dxa"/>
            <w:vAlign w:val="bottom"/>
          </w:tcPr>
          <w:p>
            <w:pPr>
              <w:spacing w:after="0"/>
              <w:rPr>
                <w:sz w:val="13"/>
                <w:szCs w:val="13"/>
                <w:color w:val="auto"/>
              </w:rPr>
            </w:pPr>
          </w:p>
        </w:tc>
        <w:tc>
          <w:tcPr>
            <w:tcW w:w="1560" w:type="dxa"/>
            <w:vAlign w:val="bottom"/>
          </w:tcPr>
          <w:p>
            <w:pPr>
              <w:jc w:val="right"/>
              <w:ind w:right="79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3"/>
                <w:szCs w:val="13"/>
                <w:color w:val="auto"/>
              </w:rPr>
            </w:pPr>
          </w:p>
        </w:tc>
        <w:tc>
          <w:tcPr>
            <w:tcW w:w="1540" w:type="dxa"/>
            <w:vAlign w:val="bottom"/>
          </w:tcPr>
          <w:p>
            <w:pPr>
              <w:jc w:val="right"/>
              <w:ind w:right="77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880" w:type="dxa"/>
            <w:vAlign w:val="bottom"/>
            <w:tcBorders>
              <w:top w:val="single" w:sz="8" w:color="auto"/>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interim period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23.9</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income tax</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44.5</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32.8</w:t>
            </w:r>
          </w:p>
        </w:tc>
      </w:tr>
      <w:tr>
        <w:trPr>
          <w:trHeight w:val="270"/>
        </w:trPr>
        <w:tc>
          <w:tcPr>
            <w:tcW w:w="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income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(9.7)</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2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cost</w:t>
            </w:r>
          </w:p>
        </w:tc>
        <w:tc>
          <w:tcPr>
            <w:tcW w:w="4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48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r>
    </w:tbl>
    <w:p>
      <w:pPr>
        <w:spacing w:after="0" w:line="2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key differences between reconciliations of Adjusted EBITDA and Adjusted EBITDA margin under IFRS and under GAAP arise from the treatment of certain adjustments, particularly in the areas of depreciation and amortization, finance income, and finance cost per the respective accounting standards. For reconciliation of Adjusted EBITDA and Adjusted EBITDA margin under IFRS, depreciation related to right-of-use assets is included within the depreciation and amortization, and as such, is added back to Adjusted EBITDA in the reconciliation. In contrast, for reconciliation of Adjusted EBITDA and Adjusted EBITDA margin under GAAP, depreciation related to right-of-use assets is classified under general and administrative expenses, and thus, is excluded from Adjusted EBITDA in the reconciliation. The designation of finance income and finance cost in reconciliation under IFRS reflects a change in the classification of non-operating (income) expense in reconciliation under GAAP. Specifically, the non-operating (income) expense accounts under GAAP have been renamed to finance income and finance cost under IFRS.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encourage investors and others to review our financial information in its entirety and not to rely on any single financial measure.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Sigrist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ir@doubledown.com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(702) 761-6899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https://www.doubledowninteractive.com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Jaffoni and Christin Armacost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835-8500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DDI@jcir.com</w:t>
      </w:r>
    </w:p>
    <w:p>
      <w:pPr>
        <w:sectPr>
          <w:pgSz w:w="11900" w:h="16838" w:orient="portrait"/>
          <w:cols w:equalWidth="0" w:num="1">
            <w:col w:w="11240"/>
          </w:cols>
          <w:pgMar w:left="320" w:top="103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DoubleDown Interactive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Interim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80" w:type="dxa"/>
            <w:vAlign w:val="bottom"/>
          </w:tcPr>
          <w:p>
            <w:pPr>
              <w:spacing w:after="0"/>
              <w:rPr>
                <w:sz w:val="20"/>
                <w:szCs w:val="20"/>
                <w:color w:val="auto"/>
              </w:rPr>
            </w:pP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7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432,846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388,891</w:t>
            </w:r>
          </w:p>
        </w:tc>
      </w:tr>
      <w:tr>
        <w:trPr>
          <w:trHeight w:val="230"/>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101,142</w:t>
            </w:r>
          </w:p>
        </w:tc>
      </w:tr>
      <w:tr>
        <w:trPr>
          <w:trHeight w:val="229"/>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32,017</w:t>
            </w:r>
          </w:p>
        </w:tc>
      </w:tr>
      <w:tr>
        <w:trPr>
          <w:trHeight w:val="230"/>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r>
      <w:tr>
        <w:trPr>
          <w:trHeight w:val="223"/>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527,573</w:t>
            </w:r>
          </w:p>
        </w:tc>
      </w:tr>
      <w:tr>
        <w:trPr>
          <w:trHeight w:val="230"/>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29"/>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Right-of-use assets, net</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29"/>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79,866</w:t>
            </w:r>
          </w:p>
        </w:tc>
      </w:tr>
      <w:tr>
        <w:trPr>
          <w:trHeight w:val="230"/>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426,659</w:t>
            </w:r>
          </w:p>
        </w:tc>
      </w:tr>
      <w:tr>
        <w:trPr>
          <w:trHeight w:val="229"/>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w:t>
            </w:r>
          </w:p>
        </w:tc>
        <w:tc>
          <w:tcPr>
            <w:tcW w:w="3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7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3"/>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512,968</w:t>
            </w:r>
          </w:p>
        </w:tc>
      </w:tr>
      <w:tr>
        <w:trPr>
          <w:trHeight w:val="223"/>
        </w:trPr>
        <w:tc>
          <w:tcPr>
            <w:tcW w:w="7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1,074,271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1,040,541</w:t>
            </w:r>
          </w:p>
        </w:tc>
      </w:tr>
      <w:tr>
        <w:trPr>
          <w:trHeight w:val="209"/>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Liabilities and equity</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24,564</w:t>
            </w:r>
          </w:p>
        </w:tc>
      </w:tr>
      <w:tr>
        <w:trPr>
          <w:trHeight w:val="230"/>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30"/>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30"/>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30"/>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portion of borrowings with related party</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34,846</w:t>
            </w:r>
          </w:p>
        </w:tc>
      </w:tr>
      <w:tr>
        <w:trPr>
          <w:trHeight w:val="229"/>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23"/>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68,149</w:t>
            </w:r>
          </w:p>
        </w:tc>
      </w:tr>
      <w:tr>
        <w:trPr>
          <w:trHeight w:val="229"/>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borrowings with related party</w:t>
            </w:r>
          </w:p>
        </w:tc>
        <w:tc>
          <w:tcPr>
            <w:tcW w:w="3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30"/>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17,360</w:t>
            </w:r>
          </w:p>
        </w:tc>
      </w:tr>
      <w:tr>
        <w:trPr>
          <w:trHeight w:val="230"/>
        </w:trPr>
        <w:tc>
          <w:tcPr>
            <w:tcW w:w="7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23"/>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22,007</w:t>
            </w:r>
          </w:p>
        </w:tc>
      </w:tr>
      <w:tr>
        <w:trPr>
          <w:trHeight w:val="223"/>
        </w:trPr>
        <w:tc>
          <w:tcPr>
            <w:tcW w:w="7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90,156</w:t>
            </w:r>
          </w:p>
        </w:tc>
      </w:tr>
      <w:tr>
        <w:trPr>
          <w:trHeight w:val="210"/>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 capital</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r>
      <w:tr>
        <w:trPr>
          <w:trHeight w:val="230"/>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 premium</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359,280</w:t>
            </w:r>
          </w:p>
        </w:tc>
      </w:tr>
      <w:tr>
        <w:trPr>
          <w:trHeight w:val="230"/>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comprehensive loss</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r>
      <w:tr>
        <w:trPr>
          <w:trHeight w:val="230"/>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574,623</w:t>
            </w:r>
          </w:p>
        </w:tc>
      </w:tr>
      <w:tr>
        <w:trPr>
          <w:trHeight w:val="223"/>
        </w:trPr>
        <w:tc>
          <w:tcPr>
            <w:tcW w:w="7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Equity attributable to DoubleDown Interactive Co., Ltd.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980,171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950,197</w:t>
            </w:r>
          </w:p>
        </w:tc>
      </w:tr>
      <w:tr>
        <w:trPr>
          <w:trHeight w:val="223"/>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7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980,375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950,385</w:t>
            </w:r>
          </w:p>
        </w:tc>
      </w:tr>
      <w:tr>
        <w:trPr>
          <w:trHeight w:val="223"/>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1,074,271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1,040,541</w:t>
            </w:r>
          </w:p>
        </w:tc>
      </w:tr>
    </w:tbl>
    <w:p>
      <w:pPr>
        <w:sectPr>
          <w:pgSz w:w="11900" w:h="16838" w:orient="portrait"/>
          <w:cols w:equalWidth="0" w:num="1">
            <w:col w:w="11240"/>
          </w:cols>
          <w:pgMar w:left="320" w:top="927"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expense</w:t>
      </w:r>
    </w:p>
    <w:p>
      <w:pPr>
        <w:spacing w:after="0" w:line="20" w:lineRule="exact"/>
        <w:rPr>
          <w:sz w:val="20"/>
          <w:szCs w:val="20"/>
          <w:color w:val="auto"/>
        </w:rPr>
      </w:pPr>
      <w:r>
        <w:rPr>
          <w:sz w:val="20"/>
          <w:szCs w:val="20"/>
          <w:color w:val="auto"/>
        </w:rPr>
        <w:br w:type="column"/>
      </w:r>
    </w:p>
    <w:p>
      <w:pPr>
        <w:jc w:val="center"/>
        <w:ind w:right="3020"/>
        <w:spacing w:after="0" w:line="268" w:lineRule="auto"/>
        <w:rPr>
          <w:sz w:val="20"/>
          <w:szCs w:val="20"/>
          <w:color w:val="auto"/>
        </w:rPr>
      </w:pPr>
      <w:r>
        <w:rPr>
          <w:rFonts w:ascii="Times New Roman" w:cs="Times New Roman" w:eastAsia="Times New Roman" w:hAnsi="Times New Roman"/>
          <w:sz w:val="18"/>
          <w:szCs w:val="18"/>
          <w:b w:val="1"/>
          <w:bCs w:val="1"/>
          <w:color w:val="auto"/>
        </w:rPr>
        <w:t>DoubleDown Interactive Co., Ltd. Consolidated Interim Statement of Comprehensive Income (Unaudited, in thousands of U.S. dollars, except per share amounts)</w:t>
      </w:r>
    </w:p>
    <w:p>
      <w:pPr>
        <w:spacing w:after="0" w:line="2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4140" w:type="dxa"/>
        <w:tblCellMar>
          <w:top w:w="0" w:type="dxa"/>
          <w:left w:w="0" w:type="dxa"/>
          <w:bottom w:w="0" w:type="dxa"/>
          <w:right w:w="0" w:type="dxa"/>
        </w:tblCellMar>
      </w:tblPr>
      <w:tr>
        <w:trPr>
          <w:trHeight w:val="223"/>
        </w:trPr>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94,122</w:t>
            </w:r>
          </w:p>
        </w:tc>
        <w:tc>
          <w:tcPr>
            <w:tcW w:w="2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83,492</w:t>
            </w:r>
          </w:p>
        </w:tc>
      </w:tr>
      <w:tr>
        <w:trPr>
          <w:trHeight w:val="449"/>
        </w:trPr>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(24,125)</w:t>
            </w:r>
          </w:p>
        </w:tc>
      </w:tr>
      <w:tr>
        <w:trPr>
          <w:trHeight w:val="229"/>
        </w:trPr>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w:t>
            </w:r>
          </w:p>
        </w:tc>
      </w:tr>
      <w:tr>
        <w:trPr>
          <w:trHeight w:val="230"/>
        </w:trPr>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29"/>
        </w:trPr>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w:t>
            </w:r>
          </w:p>
        </w:tc>
      </w:tr>
      <w:tr>
        <w:trPr>
          <w:trHeight w:val="230"/>
        </w:trPr>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2"/>
        </w:trPr>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-1172845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-872490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-581025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-289560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360" w:space="680"/>
            <w:col w:w="8200"/>
          </w:cols>
          <w:pgMar w:left="320" w:top="927" w:right="339" w:bottom="1440" w:gutter="0" w:footer="0" w:header="0"/>
        </w:sectPr>
      </w:pPr>
    </w:p>
    <w:tbl>
      <w:tblPr>
        <w:tblLayout w:type="fixed"/>
        <w:tblInd w:w="0" w:type="dxa"/>
        <w:tblCellMar>
          <w:top w:w="0" w:type="dxa"/>
          <w:left w:w="0" w:type="dxa"/>
          <w:bottom w:w="0" w:type="dxa"/>
          <w:right w:w="0" w:type="dxa"/>
        </w:tblCellMar>
      </w:tblPr>
      <w:tr>
        <w:trPr>
          <w:trHeight w:val="225"/>
        </w:trPr>
        <w:tc>
          <w:tcPr>
            <w:tcW w:w="71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(58,716)</w:t>
            </w:r>
          </w:p>
        </w:tc>
        <w:tc>
          <w:tcPr>
            <w:tcW w:w="2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(53,861)</w:t>
            </w:r>
          </w:p>
        </w:tc>
      </w:tr>
      <w:tr>
        <w:trPr>
          <w:trHeight w:val="223"/>
        </w:trPr>
        <w:tc>
          <w:tcPr>
            <w:tcW w:w="7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29,631</w:t>
            </w:r>
          </w:p>
        </w:tc>
      </w:tr>
      <w:tr>
        <w:trPr>
          <w:trHeight w:val="223"/>
        </w:trPr>
        <w:tc>
          <w:tcPr>
            <w:tcW w:w="7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Finance income</w:t>
            </w: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r>
      <w:tr>
        <w:trPr>
          <w:trHeight w:val="229"/>
        </w:trPr>
        <w:tc>
          <w:tcPr>
            <w:tcW w:w="71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Finance cost</w:t>
            </w: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23"/>
        </w:trPr>
        <w:tc>
          <w:tcPr>
            <w:tcW w:w="7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Profit before income tax</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2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32,778</w:t>
            </w:r>
          </w:p>
        </w:tc>
      </w:tr>
      <w:tr>
        <w:trPr>
          <w:trHeight w:val="223"/>
        </w:trPr>
        <w:tc>
          <w:tcPr>
            <w:tcW w:w="71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w:t>
            </w:r>
          </w:p>
        </w:tc>
      </w:tr>
      <w:tr>
        <w:trPr>
          <w:trHeight w:val="223"/>
        </w:trPr>
        <w:tc>
          <w:tcPr>
            <w:tcW w:w="7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Profit for the interim period</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2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23,912</w:t>
            </w:r>
          </w:p>
        </w:tc>
      </w:tr>
      <w:tr>
        <w:trPr>
          <w:trHeight w:val="209"/>
        </w:trPr>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7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Pension adjustments, net of tax</w:t>
            </w: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1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Gain (loss) on foreign currency translation</w:t>
            </w: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3"/>
        </w:trPr>
        <w:tc>
          <w:tcPr>
            <w:tcW w:w="7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comprehensive income for the interim period</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2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25,447</w:t>
            </w:r>
          </w:p>
        </w:tc>
      </w:tr>
      <w:tr>
        <w:trPr>
          <w:trHeight w:val="209"/>
        </w:trPr>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Profit attributable to:</w:t>
            </w: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DoubleDown Interactive Co., Ltd.</w:t>
            </w: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23,846</w:t>
            </w:r>
          </w:p>
        </w:tc>
      </w:tr>
      <w:tr>
        <w:trPr>
          <w:trHeight w:val="230"/>
        </w:trPr>
        <w:tc>
          <w:tcPr>
            <w:tcW w:w="7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comprehensive income attributable to:</w:t>
            </w: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DoubleDown Interactive Co., Ltd.</w:t>
            </w: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25,381</w:t>
            </w:r>
          </w:p>
        </w:tc>
      </w:tr>
      <w:tr>
        <w:trPr>
          <w:trHeight w:val="230"/>
        </w:trPr>
        <w:tc>
          <w:tcPr>
            <w:tcW w:w="7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7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7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Earnings per share:</w:t>
            </w: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30"/>
        </w:trPr>
        <w:tc>
          <w:tcPr>
            <w:tcW w:w="7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5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2,477,672</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2,477,672</w:t>
            </w:r>
          </w:p>
        </w:tc>
      </w:tr>
      <w:tr>
        <w:trPr>
          <w:trHeight w:val="243"/>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2,477,672</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2,477,672</w:t>
            </w:r>
          </w:p>
        </w:tc>
      </w:tr>
    </w:tbl>
    <w:p>
      <w:pPr>
        <w:sectPr>
          <w:pgSz w:w="11900" w:h="16838" w:orient="portrait"/>
          <w:cols w:equalWidth="0" w:num="1">
            <w:col w:w="11240"/>
          </w:cols>
          <w:pgMar w:left="320" w:top="92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DoubleDown Interactive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Interim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for the interim period</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100" w:type="dxa"/>
            <w:vAlign w:val="bottom"/>
          </w:tcPr>
          <w:p>
            <w:pPr>
              <w:spacing w:after="0"/>
              <w:rPr>
                <w:sz w:val="19"/>
                <w:szCs w:val="19"/>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23,912</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profit to net cash from operating activities: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foreign currency</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foreign currency transaction</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valuation of financial assets and liabilities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valuation of financial assets and liabilities</w:t>
            </w:r>
          </w:p>
        </w:tc>
        <w:tc>
          <w:tcPr>
            <w:tcW w:w="1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Miscellaneous expense</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employee benefits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generated from operations</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35,743</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received</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inflow from operating activities</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41,120</w:t>
            </w: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Disposal of financial assets at fair value through profit or loss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(141,081)</w:t>
            </w:r>
          </w:p>
        </w:tc>
      </w:tr>
      <w:tr>
        <w:trPr>
          <w:trHeight w:val="230"/>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Disposal of short-term investment</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89,823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131,221</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(outflow) from investing activities</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dividends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(outflow) from financing activities</w:t>
            </w: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44,954</w:t>
            </w:r>
          </w:p>
        </w:tc>
        <w:tc>
          <w:tcPr>
            <w:tcW w:w="100" w:type="dxa"/>
            <w:vAlign w:val="bottom"/>
          </w:tcPr>
          <w:p>
            <w:pPr>
              <w:spacing w:after="0"/>
              <w:rPr>
                <w:sz w:val="19"/>
                <w:szCs w:val="19"/>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interim period</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388,891</w:t>
            </w:r>
          </w:p>
        </w:tc>
        <w:tc>
          <w:tcPr>
            <w:tcW w:w="100" w:type="dxa"/>
            <w:vAlign w:val="bottom"/>
          </w:tcPr>
          <w:p>
            <w:pPr>
              <w:spacing w:after="0"/>
              <w:rPr>
                <w:sz w:val="19"/>
                <w:szCs w:val="19"/>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334,850</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interim period</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365,664</w:t>
            </w:r>
          </w:p>
        </w:tc>
      </w:tr>
    </w:tbl>
    <w:p>
      <w:pPr>
        <w:sectPr>
          <w:pgSz w:w="11900" w:h="16838" w:orient="portrait"/>
          <w:cols w:equalWidth="0" w:num="1">
            <w:col w:w="11240"/>
          </w:cols>
          <w:pgMar w:left="320" w:top="765"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DoubleDown Interactive Co.,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Interim Financial Statements (Unaudited)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and for the three months ended March 31, 2026 and 2025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60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Interim Statements of Financial Position</w:t>
            </w:r>
          </w:p>
        </w:tc>
        <w:tc>
          <w:tcPr>
            <w:tcW w:w="60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Interim Statements of Comprehensive Income</w:t>
            </w:r>
          </w:p>
        </w:tc>
        <w:tc>
          <w:tcPr>
            <w:tcW w:w="60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F-3</w:t>
            </w:r>
          </w:p>
        </w:tc>
      </w:tr>
      <w:tr>
        <w:trPr>
          <w:trHeight w:val="250"/>
        </w:trPr>
        <w:tc>
          <w:tcPr>
            <w:tcW w:w="20" w:type="dxa"/>
            <w:vAlign w:val="bottom"/>
          </w:tcPr>
          <w:p>
            <w:pPr>
              <w:spacing w:after="0"/>
              <w:rPr>
                <w:sz w:val="21"/>
                <w:szCs w:val="21"/>
                <w:color w:val="auto"/>
              </w:rPr>
            </w:pPr>
          </w:p>
        </w:tc>
        <w:tc>
          <w:tcPr>
            <w:tcW w:w="4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Interim Statements of Changes in Equity</w:t>
            </w:r>
          </w:p>
        </w:tc>
        <w:tc>
          <w:tcPr>
            <w:tcW w:w="820" w:type="dxa"/>
            <w:vAlign w:val="bottom"/>
            <w:gridSpan w:val="2"/>
          </w:tcPr>
          <w:p>
            <w:pPr>
              <w:spacing w:after="0"/>
              <w:rPr>
                <w:sz w:val="21"/>
                <w:szCs w:val="21"/>
                <w:color w:val="auto"/>
              </w:rPr>
            </w:pPr>
          </w:p>
        </w:tc>
        <w:tc>
          <w:tcPr>
            <w:tcW w:w="60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F-4</w:t>
            </w:r>
          </w:p>
        </w:tc>
      </w:tr>
      <w:tr>
        <w:trPr>
          <w:trHeight w:val="250"/>
        </w:trPr>
        <w:tc>
          <w:tcPr>
            <w:tcW w:w="20" w:type="dxa"/>
            <w:vAlign w:val="bottom"/>
          </w:tcPr>
          <w:p>
            <w:pPr>
              <w:spacing w:after="0"/>
              <w:rPr>
                <w:sz w:val="21"/>
                <w:szCs w:val="21"/>
                <w:color w:val="auto"/>
              </w:rPr>
            </w:pPr>
          </w:p>
        </w:tc>
        <w:tc>
          <w:tcPr>
            <w:tcW w:w="34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Interim Statements of Cash Flows</w:t>
            </w:r>
          </w:p>
        </w:tc>
        <w:tc>
          <w:tcPr>
            <w:tcW w:w="480" w:type="dxa"/>
            <w:vAlign w:val="bottom"/>
            <w:tcBorders>
              <w:top w:val="single" w:sz="8" w:color="0000FF"/>
            </w:tcBorders>
            <w:gridSpan w:val="2"/>
          </w:tcPr>
          <w:p>
            <w:pPr>
              <w:spacing w:after="0"/>
              <w:rPr>
                <w:sz w:val="21"/>
                <w:szCs w:val="21"/>
                <w:color w:val="auto"/>
              </w:rPr>
            </w:pPr>
          </w:p>
        </w:tc>
        <w:tc>
          <w:tcPr>
            <w:tcW w:w="1220" w:type="dxa"/>
            <w:vAlign w:val="bottom"/>
            <w:gridSpan w:val="3"/>
          </w:tcPr>
          <w:p>
            <w:pPr>
              <w:spacing w:after="0"/>
              <w:rPr>
                <w:sz w:val="21"/>
                <w:szCs w:val="21"/>
                <w:color w:val="auto"/>
              </w:rPr>
            </w:pPr>
          </w:p>
        </w:tc>
        <w:tc>
          <w:tcPr>
            <w:tcW w:w="60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F-5</w:t>
            </w:r>
          </w:p>
        </w:tc>
      </w:tr>
      <w:tr>
        <w:trPr>
          <w:trHeight w:val="250"/>
        </w:trPr>
        <w:tc>
          <w:tcPr>
            <w:tcW w:w="20" w:type="dxa"/>
            <w:vAlign w:val="bottom"/>
          </w:tcPr>
          <w:p>
            <w:pPr>
              <w:spacing w:after="0"/>
              <w:rPr>
                <w:sz w:val="21"/>
                <w:szCs w:val="21"/>
                <w:color w:val="auto"/>
              </w:rPr>
            </w:pPr>
          </w:p>
        </w:tc>
        <w:tc>
          <w:tcPr>
            <w:tcW w:w="5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the Condensed Consolidated Interim Financial Statements</w:t>
            </w:r>
          </w:p>
        </w:tc>
        <w:tc>
          <w:tcPr>
            <w:tcW w:w="60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F-6</w:t>
            </w:r>
          </w:p>
        </w:tc>
      </w:tr>
      <w:tr>
        <w:trPr>
          <w:trHeight w:val="723"/>
        </w:trPr>
        <w:tc>
          <w:tcPr>
            <w:tcW w:w="20" w:type="dxa"/>
            <w:vAlign w:val="bottom"/>
          </w:tcPr>
          <w:p>
            <w:pPr>
              <w:spacing w:after="0"/>
              <w:rPr>
                <w:sz w:val="24"/>
                <w:szCs w:val="24"/>
                <w:color w:val="auto"/>
              </w:rPr>
            </w:pPr>
          </w:p>
        </w:tc>
        <w:tc>
          <w:tcPr>
            <w:tcW w:w="34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F-1</w:t>
            </w:r>
          </w:p>
        </w:tc>
      </w:tr>
      <w:tr>
        <w:trPr>
          <w:trHeight w:val="331"/>
        </w:trPr>
        <w:tc>
          <w:tcPr>
            <w:tcW w:w="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DoubleDown Interactive Co.,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Interim Statements of Financial Position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80" w:type="dxa"/>
            <w:vAlign w:val="bottom"/>
          </w:tcPr>
          <w:p>
            <w:pPr>
              <w:spacing w:after="0"/>
              <w:rPr>
                <w:sz w:val="20"/>
                <w:szCs w:val="20"/>
                <w:color w:val="auto"/>
              </w:rPr>
            </w:pP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(unaudited)</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2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88"/>
              </w:rPr>
              <w:t>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388,891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Short-term investments</w:t>
            </w:r>
          </w:p>
        </w:tc>
        <w:tc>
          <w:tcPr>
            <w:tcW w:w="2060" w:type="dxa"/>
            <w:vAlign w:val="bottom"/>
            <w:tcBorders>
              <w:bottom w:val="single" w:sz="8" w:color="CCEEFF"/>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3</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101,142</w:t>
            </w: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88"/>
              </w:rPr>
              <w:t>3</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3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0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Right-of-use assets, net</w:t>
            </w:r>
          </w:p>
        </w:tc>
        <w:tc>
          <w:tcPr>
            <w:tcW w:w="2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5,14</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Intangible assets, net</w:t>
            </w:r>
          </w:p>
        </w:tc>
        <w:tc>
          <w:tcPr>
            <w:tcW w:w="2060" w:type="dxa"/>
            <w:vAlign w:val="bottom"/>
            <w:tcBorders>
              <w:bottom w:val="single" w:sz="8" w:color="CCEEFF"/>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79,866</w:t>
            </w: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w:t>
            </w:r>
          </w:p>
        </w:tc>
        <w:tc>
          <w:tcPr>
            <w:tcW w:w="2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7"/>
              </w:rPr>
              <w:t>3,7</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512,968</w:t>
            </w:r>
          </w:p>
        </w:tc>
        <w:tc>
          <w:tcPr>
            <w:tcW w:w="0" w:type="dxa"/>
            <w:vAlign w:val="bottom"/>
          </w:tcPr>
          <w:p>
            <w:pPr>
              <w:spacing w:after="0"/>
              <w:rPr>
                <w:sz w:val="1"/>
                <w:szCs w:val="1"/>
                <w:color w:val="auto"/>
              </w:rPr>
            </w:pPr>
          </w:p>
        </w:tc>
      </w:tr>
      <w:tr>
        <w:trPr>
          <w:trHeight w:val="23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0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1,074,271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1,040,541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 and equity</w:t>
            </w:r>
          </w:p>
        </w:tc>
        <w:tc>
          <w:tcPr>
            <w:tcW w:w="2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60" w:type="dxa"/>
            <w:vAlign w:val="bottom"/>
            <w:tcBorders>
              <w:bottom w:val="single" w:sz="8" w:color="CCEEFF"/>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7"/>
              </w:rPr>
              <w:t>3,5,14</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taxes payable</w:t>
            </w:r>
          </w:p>
        </w:tc>
        <w:tc>
          <w:tcPr>
            <w:tcW w:w="2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Contract liabilities</w:t>
            </w:r>
          </w:p>
        </w:tc>
        <w:tc>
          <w:tcPr>
            <w:tcW w:w="2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portion of borrowings with related party</w:t>
            </w:r>
          </w:p>
        </w:tc>
        <w:tc>
          <w:tcPr>
            <w:tcW w:w="2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7"/>
              </w:rPr>
              <w:t>3,6,14</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3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borrowings with related party</w:t>
            </w:r>
          </w:p>
        </w:tc>
        <w:tc>
          <w:tcPr>
            <w:tcW w:w="2060" w:type="dxa"/>
            <w:vAlign w:val="bottom"/>
            <w:tcBorders>
              <w:bottom w:val="single" w:sz="8" w:color="CCEEFF"/>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7"/>
              </w:rPr>
              <w:t>3,6,14</w:t>
            </w: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7"/>
              </w:rPr>
              <w:t>3,5,14</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17,360</w:t>
            </w: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22,007</w:t>
            </w:r>
          </w:p>
        </w:tc>
        <w:tc>
          <w:tcPr>
            <w:tcW w:w="0" w:type="dxa"/>
            <w:vAlign w:val="bottom"/>
          </w:tcPr>
          <w:p>
            <w:pPr>
              <w:spacing w:after="0"/>
              <w:rPr>
                <w:sz w:val="1"/>
                <w:szCs w:val="1"/>
                <w:color w:val="auto"/>
              </w:rPr>
            </w:pPr>
          </w:p>
        </w:tc>
      </w:tr>
      <w:tr>
        <w:trPr>
          <w:trHeight w:val="23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0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2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 capital</w:t>
            </w:r>
          </w:p>
        </w:tc>
        <w:tc>
          <w:tcPr>
            <w:tcW w:w="2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88"/>
              </w:rPr>
              <w:t>9</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 premium</w:t>
            </w:r>
          </w:p>
        </w:tc>
        <w:tc>
          <w:tcPr>
            <w:tcW w:w="2060" w:type="dxa"/>
            <w:vAlign w:val="bottom"/>
            <w:tcBorders>
              <w:bottom w:val="single" w:sz="8" w:color="CCEEFF"/>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9</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0" w:type="dxa"/>
            <w:vAlign w:val="bottom"/>
          </w:tcPr>
          <w:p>
            <w:pPr>
              <w:spacing w:after="0"/>
              <w:rPr>
                <w:sz w:val="1"/>
                <w:szCs w:val="1"/>
                <w:color w:val="auto"/>
              </w:rPr>
            </w:pPr>
          </w:p>
        </w:tc>
      </w:tr>
      <w:tr>
        <w:trPr>
          <w:trHeight w:val="24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comprehensive loss</w:t>
            </w:r>
          </w:p>
        </w:tc>
        <w:tc>
          <w:tcPr>
            <w:tcW w:w="2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Retained earnings</w:t>
            </w:r>
          </w:p>
        </w:tc>
        <w:tc>
          <w:tcPr>
            <w:tcW w:w="2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574,623</w:t>
            </w:r>
          </w:p>
        </w:tc>
        <w:tc>
          <w:tcPr>
            <w:tcW w:w="0" w:type="dxa"/>
            <w:vAlign w:val="bottom"/>
          </w:tcPr>
          <w:p>
            <w:pPr>
              <w:spacing w:after="0"/>
              <w:rPr>
                <w:sz w:val="1"/>
                <w:szCs w:val="1"/>
                <w:color w:val="auto"/>
              </w:rPr>
            </w:pPr>
          </w:p>
        </w:tc>
      </w:tr>
      <w:tr>
        <w:trPr>
          <w:trHeight w:val="23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attributable to DoubleDown Interactive Co., Ltd.</w:t>
            </w:r>
          </w:p>
        </w:tc>
        <w:tc>
          <w:tcPr>
            <w:tcW w:w="20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980,171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950,197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20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equity</w:t>
            </w:r>
          </w:p>
        </w:tc>
        <w:tc>
          <w:tcPr>
            <w:tcW w:w="20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980,375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950,385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1,040,541</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interim financial statements.</w:t>
      </w:r>
    </w:p>
    <w:p>
      <w:pPr>
        <w:sectPr>
          <w:pgSz w:w="11900" w:h="16838" w:orient="portrait"/>
          <w:cols w:equalWidth="0" w:num="1">
            <w:col w:w="11240"/>
          </w:cols>
          <w:pgMar w:left="320" w:top="1310" w:right="3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DoubleDown Interactive Co., Ltd.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Interim Statements of Comprehensive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18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1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180" w:type="dxa"/>
            <w:vAlign w:val="bottom"/>
            <w:tcBorders>
              <w:bottom w:val="single" w:sz="8" w:color="CCEEFF"/>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8"/>
              </w:rPr>
              <w:t>10,15</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83,492</w:t>
            </w:r>
          </w:p>
        </w:tc>
        <w:tc>
          <w:tcPr>
            <w:tcW w:w="0" w:type="dxa"/>
            <w:vAlign w:val="bottom"/>
          </w:tcPr>
          <w:p>
            <w:pPr>
              <w:spacing w:after="0"/>
              <w:rPr>
                <w:sz w:val="1"/>
                <w:szCs w:val="1"/>
                <w:color w:val="auto"/>
              </w:rPr>
            </w:pPr>
          </w:p>
        </w:tc>
      </w:tr>
      <w:tr>
        <w:trPr>
          <w:trHeight w:val="243"/>
        </w:trPr>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Cost of revenue</w:t>
            </w:r>
          </w:p>
        </w:tc>
        <w:tc>
          <w:tcPr>
            <w:tcW w:w="2180" w:type="dxa"/>
            <w:vAlign w:val="bottom"/>
            <w:tcBorders>
              <w:bottom w:val="single" w:sz="8" w:color="CCEEFF"/>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8"/>
              </w:rPr>
              <w:t>11,14</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(24,125)</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Sales and marketing</w:t>
            </w:r>
          </w:p>
        </w:tc>
        <w:tc>
          <w:tcPr>
            <w:tcW w:w="21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88"/>
              </w:rPr>
              <w:t>11</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tcBorders>
              <w:bottom w:val="single" w:sz="8" w:color="CCEEFF"/>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88"/>
              </w:rPr>
              <w:t>11</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88"/>
              </w:rPr>
              <w:t>11</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income</w:t>
            </w:r>
          </w:p>
        </w:tc>
        <w:tc>
          <w:tcPr>
            <w:tcW w:w="2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expense</w:t>
            </w:r>
          </w:p>
        </w:tc>
        <w:tc>
          <w:tcPr>
            <w:tcW w:w="2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(53,861)</w:t>
            </w:r>
          </w:p>
        </w:tc>
        <w:tc>
          <w:tcPr>
            <w:tcW w:w="0" w:type="dxa"/>
            <w:vAlign w:val="bottom"/>
          </w:tcPr>
          <w:p>
            <w:pPr>
              <w:spacing w:after="0"/>
              <w:rPr>
                <w:sz w:val="1"/>
                <w:szCs w:val="1"/>
                <w:color w:val="auto"/>
              </w:rPr>
            </w:pPr>
          </w:p>
        </w:tc>
      </w:tr>
      <w:tr>
        <w:trPr>
          <w:trHeight w:val="237"/>
        </w:trPr>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1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Finance income</w:t>
            </w:r>
          </w:p>
        </w:tc>
        <w:tc>
          <w:tcPr>
            <w:tcW w:w="2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Finance cost</w:t>
            </w:r>
          </w:p>
        </w:tc>
        <w:tc>
          <w:tcPr>
            <w:tcW w:w="2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Profit before income tax</w:t>
            </w:r>
          </w:p>
        </w:tc>
        <w:tc>
          <w:tcPr>
            <w:tcW w:w="2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32,778</w:t>
            </w:r>
          </w:p>
        </w:tc>
        <w:tc>
          <w:tcPr>
            <w:tcW w:w="0" w:type="dxa"/>
            <w:vAlign w:val="bottom"/>
          </w:tcPr>
          <w:p>
            <w:pPr>
              <w:spacing w:after="0"/>
              <w:rPr>
                <w:sz w:val="1"/>
                <w:szCs w:val="1"/>
                <w:color w:val="auto"/>
              </w:rPr>
            </w:pPr>
          </w:p>
        </w:tc>
      </w:tr>
      <w:tr>
        <w:trPr>
          <w:trHeight w:val="237"/>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 expense</w:t>
            </w:r>
          </w:p>
        </w:tc>
        <w:tc>
          <w:tcPr>
            <w:tcW w:w="21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88"/>
              </w:rPr>
              <w:t>8</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Profit for the interim period</w:t>
            </w:r>
          </w:p>
        </w:tc>
        <w:tc>
          <w:tcPr>
            <w:tcW w:w="2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0" w:type="dxa"/>
            <w:vAlign w:val="bottom"/>
          </w:tcPr>
          <w:p>
            <w:pPr>
              <w:spacing w:after="0"/>
              <w:rPr>
                <w:sz w:val="1"/>
                <w:szCs w:val="1"/>
                <w:color w:val="auto"/>
              </w:rPr>
            </w:pPr>
          </w:p>
        </w:tc>
      </w:tr>
      <w:tr>
        <w:trPr>
          <w:trHeight w:val="223"/>
        </w:trPr>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Pension adjustments, net of tax</w:t>
            </w:r>
          </w:p>
        </w:tc>
        <w:tc>
          <w:tcPr>
            <w:tcW w:w="2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Gain (loss) on foreign currency translation</w:t>
            </w:r>
          </w:p>
        </w:tc>
        <w:tc>
          <w:tcPr>
            <w:tcW w:w="2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comprehensive income for the interim period</w:t>
            </w:r>
          </w:p>
        </w:tc>
        <w:tc>
          <w:tcPr>
            <w:tcW w:w="2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25,447</w:t>
            </w:r>
          </w:p>
        </w:tc>
        <w:tc>
          <w:tcPr>
            <w:tcW w:w="0" w:type="dxa"/>
            <w:vAlign w:val="bottom"/>
          </w:tcPr>
          <w:p>
            <w:pPr>
              <w:spacing w:after="0"/>
              <w:rPr>
                <w:sz w:val="1"/>
                <w:szCs w:val="1"/>
                <w:color w:val="auto"/>
              </w:rPr>
            </w:pPr>
          </w:p>
        </w:tc>
      </w:tr>
      <w:tr>
        <w:trPr>
          <w:trHeight w:val="223"/>
        </w:trPr>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Profit attributable to:</w:t>
            </w:r>
          </w:p>
        </w:tc>
        <w:tc>
          <w:tcPr>
            <w:tcW w:w="2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DoubleDown Interactive Co., Ltd.</w:t>
            </w:r>
          </w:p>
        </w:tc>
        <w:tc>
          <w:tcPr>
            <w:tcW w:w="2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comprehensive income attributable to:</w:t>
            </w:r>
          </w:p>
        </w:tc>
        <w:tc>
          <w:tcPr>
            <w:tcW w:w="2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DoubleDown Interactive Co., Ltd.</w:t>
            </w:r>
          </w:p>
        </w:tc>
        <w:tc>
          <w:tcPr>
            <w:tcW w:w="2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Earnings per share:</w:t>
            </w:r>
          </w:p>
        </w:tc>
        <w:tc>
          <w:tcPr>
            <w:tcW w:w="2180" w:type="dxa"/>
            <w:vAlign w:val="bottom"/>
            <w:tcBorders>
              <w:bottom w:val="single" w:sz="8" w:color="CCEEFF"/>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12</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21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interim financial statements.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DoubleDown Interactive Co.,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Interim Statements of Changes in Equity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12"/>
          </w:tcPr>
          <w:p>
            <w:pPr>
              <w:jc w:val="center"/>
              <w:ind w:left="472"/>
              <w:spacing w:after="0"/>
              <w:rPr>
                <w:sz w:val="20"/>
                <w:szCs w:val="20"/>
                <w:color w:val="auto"/>
              </w:rPr>
            </w:pPr>
            <w:r>
              <w:rPr>
                <w:rFonts w:ascii="Times New Roman" w:cs="Times New Roman" w:eastAsia="Times New Roman" w:hAnsi="Times New Roman"/>
                <w:sz w:val="16"/>
                <w:szCs w:val="16"/>
                <w:b w:val="1"/>
                <w:bCs w:val="1"/>
                <w:color w:val="auto"/>
              </w:rPr>
              <w:t>Attributable to DoubleDown Interactive Co., Ltd</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Non -</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0" w:type="dxa"/>
            <w:vAlign w:val="bottom"/>
          </w:tcPr>
          <w:p>
            <w:pPr>
              <w:spacing w:after="0"/>
              <w:rPr>
                <w:sz w:val="8"/>
                <w:szCs w:val="8"/>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 w:type="dxa"/>
            <w:vAlign w:val="bottom"/>
          </w:tcPr>
          <w:p>
            <w:pPr>
              <w:spacing w:after="0"/>
              <w:rPr>
                <w:sz w:val="8"/>
                <w:szCs w:val="8"/>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95"/>
        </w:trPr>
        <w:tc>
          <w:tcPr>
            <w:tcW w:w="3860" w:type="dxa"/>
            <w:vAlign w:val="bottom"/>
          </w:tcPr>
          <w:p>
            <w:pPr>
              <w:spacing w:after="0"/>
              <w:rPr>
                <w:sz w:val="8"/>
                <w:szCs w:val="8"/>
                <w:color w:val="auto"/>
              </w:rPr>
            </w:pPr>
          </w:p>
        </w:tc>
        <w:tc>
          <w:tcPr>
            <w:tcW w:w="680" w:type="dxa"/>
            <w:vAlign w:val="bottom"/>
            <w:vMerge w:val="restart"/>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premium</w:t>
            </w:r>
          </w:p>
        </w:tc>
        <w:tc>
          <w:tcPr>
            <w:tcW w:w="100" w:type="dxa"/>
            <w:vAlign w:val="bottom"/>
          </w:tcPr>
          <w:p>
            <w:pPr>
              <w:spacing w:after="0"/>
              <w:rPr>
                <w:sz w:val="8"/>
                <w:szCs w:val="8"/>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8"/>
                <w:szCs w:val="8"/>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920" w:type="dxa"/>
            <w:vAlign w:val="bottom"/>
            <w:gridSpan w:val="3"/>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As of January 1, 2025</w:t>
            </w:r>
          </w:p>
        </w:tc>
        <w:tc>
          <w:tcPr>
            <w:tcW w:w="68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841,915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842,033</w:t>
            </w:r>
          </w:p>
        </w:tc>
        <w:tc>
          <w:tcPr>
            <w:tcW w:w="0" w:type="dxa"/>
            <w:vAlign w:val="bottom"/>
          </w:tcPr>
          <w:p>
            <w:pPr>
              <w:spacing w:after="0"/>
              <w:rPr>
                <w:sz w:val="1"/>
                <w:szCs w:val="1"/>
                <w:color w:val="auto"/>
              </w:rPr>
            </w:pPr>
          </w:p>
        </w:tc>
      </w:tr>
      <w:tr>
        <w:trPr>
          <w:trHeight w:val="213"/>
        </w:trPr>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Comprehensive income (loss) for the interim period</w:t>
            </w: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Profit for the interim period</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Sub-total of comprehensive income (loss) for the year</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25,447</w:t>
            </w:r>
          </w:p>
        </w:tc>
        <w:tc>
          <w:tcPr>
            <w:tcW w:w="0" w:type="dxa"/>
            <w:vAlign w:val="bottom"/>
          </w:tcPr>
          <w:p>
            <w:pPr>
              <w:spacing w:after="0"/>
              <w:rPr>
                <w:sz w:val="1"/>
                <w:szCs w:val="1"/>
                <w:color w:val="auto"/>
              </w:rPr>
            </w:pPr>
          </w:p>
        </w:tc>
      </w:tr>
      <w:tr>
        <w:trPr>
          <w:trHeight w:val="243"/>
        </w:trPr>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 of March 31, 2025 (unaudited)</w:t>
            </w: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495,971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867,296</w:t>
            </w:r>
          </w:p>
        </w:tc>
        <w:tc>
          <w:tcPr>
            <w:tcW w:w="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867,480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Transaction with owners, recognized directly in equity</w:t>
            </w:r>
          </w:p>
        </w:tc>
        <w:tc>
          <w:tcPr>
            <w:tcW w:w="6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 of January 1, 2026</w:t>
            </w: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574,623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950,197</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950,385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Comprehensive income (loss) for the interim period</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Profit for the interim period</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182"/>
        </w:trPr>
        <w:tc>
          <w:tcPr>
            <w:tcW w:w="3860" w:type="dxa"/>
            <w:vAlign w:val="bottom"/>
          </w:tcPr>
          <w:p>
            <w:pPr>
              <w:ind w:left="60"/>
              <w:spacing w:after="0" w:line="182" w:lineRule="exact"/>
              <w:rPr>
                <w:sz w:val="20"/>
                <w:szCs w:val="20"/>
                <w:color w:val="auto"/>
              </w:rPr>
            </w:pPr>
            <w:r>
              <w:rPr>
                <w:rFonts w:ascii="Times New Roman" w:cs="Times New Roman" w:eastAsia="Times New Roman" w:hAnsi="Times New Roman"/>
                <w:sz w:val="16"/>
                <w:szCs w:val="16"/>
                <w:color w:val="auto"/>
              </w:rPr>
              <w:t>Sub-total of comprehensive income (loss) for the interim</w:t>
            </w:r>
          </w:p>
        </w:tc>
        <w:tc>
          <w:tcPr>
            <w:tcW w:w="68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8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8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80" w:type="dxa"/>
            <w:vAlign w:val="bottom"/>
          </w:tcPr>
          <w:p>
            <w:pPr>
              <w:spacing w:after="0"/>
              <w:rPr>
                <w:sz w:val="15"/>
                <w:szCs w:val="15"/>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0" w:type="dxa"/>
            <w:vAlign w:val="bottom"/>
          </w:tcPr>
          <w:p>
            <w:pPr>
              <w:spacing w:after="0"/>
              <w:rPr>
                <w:sz w:val="1"/>
                <w:szCs w:val="1"/>
                <w:color w:val="auto"/>
              </w:rPr>
            </w:pPr>
          </w:p>
        </w:tc>
      </w:tr>
      <w:tr>
        <w:trPr>
          <w:trHeight w:val="135"/>
        </w:trPr>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period</w:t>
            </w:r>
          </w:p>
        </w:tc>
        <w:tc>
          <w:tcPr>
            <w:tcW w:w="6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8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As of March 31, 2026 (unaudited)</w:t>
            </w:r>
          </w:p>
        </w:tc>
        <w:tc>
          <w:tcPr>
            <w:tcW w:w="6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980,171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980,375</w:t>
            </w: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DoubleDown Interactive Co.,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Interim Statements of Cash Flows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5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22"/>
          <w:szCs w:val="22"/>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740" w:type="dxa"/>
            <w:vAlign w:val="bottom"/>
          </w:tcPr>
          <w:p>
            <w:pPr>
              <w:spacing w:after="0"/>
              <w:rPr>
                <w:sz w:val="22"/>
                <w:szCs w:val="22"/>
                <w:color w:val="auto"/>
              </w:rPr>
            </w:pPr>
          </w:p>
        </w:tc>
        <w:tc>
          <w:tcPr>
            <w:tcW w:w="18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4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for the interim period</w:t>
            </w:r>
          </w:p>
        </w:tc>
        <w:tc>
          <w:tcPr>
            <w:tcW w:w="18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23,912</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profit to net cash from operating activities:</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4,5,11,15</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foreign currency</w:t>
            </w:r>
          </w:p>
        </w:tc>
        <w:tc>
          <w:tcPr>
            <w:tcW w:w="182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18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foreign currency transaction</w:t>
            </w:r>
          </w:p>
        </w:tc>
        <w:tc>
          <w:tcPr>
            <w:tcW w:w="182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valuation of financial assets and liabilities</w:t>
            </w:r>
          </w:p>
        </w:tc>
        <w:tc>
          <w:tcPr>
            <w:tcW w:w="18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valuation of financial assets and liabilities</w:t>
            </w:r>
          </w:p>
        </w:tc>
        <w:tc>
          <w:tcPr>
            <w:tcW w:w="182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Miscellaneous expense</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182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employee benefits</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generated from operations</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35,743</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received</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inflow from operating activities</w:t>
            </w:r>
          </w:p>
        </w:tc>
        <w:tc>
          <w:tcPr>
            <w:tcW w:w="1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41,120</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Disposal of financial assets at fair value through profit or loss</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(141,081)</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Disposal of short-term investment</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131,221</w:t>
            </w: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(outflow) from investing activities</w:t>
            </w:r>
          </w:p>
        </w:tc>
        <w:tc>
          <w:tcPr>
            <w:tcW w:w="1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dividends</w:t>
            </w:r>
          </w:p>
        </w:tc>
        <w:tc>
          <w:tcPr>
            <w:tcW w:w="18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(outflow) from financing activities</w:t>
            </w:r>
          </w:p>
        </w:tc>
        <w:tc>
          <w:tcPr>
            <w:tcW w:w="1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30,933</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interim period</w:t>
            </w:r>
          </w:p>
        </w:tc>
        <w:tc>
          <w:tcPr>
            <w:tcW w:w="18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388,891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334,850</w:t>
            </w:r>
          </w:p>
        </w:tc>
      </w:tr>
      <w:tr>
        <w:trPr>
          <w:trHeight w:val="27"/>
        </w:trPr>
        <w:tc>
          <w:tcPr>
            <w:tcW w:w="5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interim period</w:t>
            </w:r>
          </w:p>
        </w:tc>
        <w:tc>
          <w:tcPr>
            <w:tcW w:w="18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365,664</w:t>
            </w:r>
          </w:p>
        </w:tc>
      </w:tr>
      <w:tr>
        <w:trPr>
          <w:trHeight w:val="27"/>
        </w:trPr>
        <w:tc>
          <w:tcPr>
            <w:tcW w:w="57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interim financial statements.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DoubleDown Interactive Co.,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Interim Financial Statements (unaudited)</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General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nature of operations</w:t>
      </w:r>
    </w:p>
    <w:p>
      <w:pPr>
        <w:spacing w:after="0" w:line="270"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8"/>
          <w:szCs w:val="18"/>
          <w:color w:val="auto"/>
        </w:rPr>
        <w:t>DoubleDown Interactive Co., Ltd. (“DDI,” “we,” “us,” “Parent Company,” “our” or “the Company,” formerly known as The8Games Co., Ltd.) was incorporated in 2008 in Seoul, Korea as an interactive entertainment studio, focused on the development and publishing of casual games and mobile applications. DDI is a subsidiary of DoubleU Games Co., Ltd. (“DUG” or “DoubleU Games”), a Korean company and our controlling shareholder holding 67.1% of our outstanding shares. In 2017, DDI acquired DoubleDown Interactive LLC (“DDI-US”) from International Gaming Technologies (“IGT”) for approximately $825 million. DDI-US is our primary revenue-generating company. In October 2023, the Company acquired an iGaming operator, SuprNation AB (together with its subsidiaries, “SuprNation”), which is now a direct, wholly-owned subsidiary of DDI-US. The acquisition diversifies the digital games categories that the Company addresses with the addition of four real-money iGaming sites in Europe. In July 2025, the Company acquired WHOW Games GmbH, a social casino developer headquartered in Hamburg, Germany (“WHOW Games”), which is now a direct, wholly-owned subsidiary of DDI-US. In September 2025, DDI-US completed the conversion from a Washington limited liability company to a Nevada limited liability company.</w:t>
      </w:r>
    </w:p>
    <w:p>
      <w:pPr>
        <w:spacing w:after="0" w:line="146"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8"/>
          <w:szCs w:val="18"/>
          <w:color w:val="auto"/>
        </w:rPr>
        <w:t xml:space="preserve">We develop and publish digital gaming contents on various mobile and web platforms through our multi-format interactive all-in-one game experience concept. We host </w:t>
      </w:r>
      <w:r>
        <w:rPr>
          <w:rFonts w:ascii="Times New Roman" w:cs="Times New Roman" w:eastAsia="Times New Roman" w:hAnsi="Times New Roman"/>
          <w:sz w:val="18"/>
          <w:szCs w:val="18"/>
          <w:i w:val="1"/>
          <w:iCs w:val="1"/>
          <w:color w:val="auto"/>
        </w:rPr>
        <w:t>DoubleDown Casino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DoubleDown Classic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DoubleDown Fort Knox</w:t>
      </w:r>
      <w:r>
        <w:rPr>
          <w:rFonts w:ascii="Times New Roman" w:cs="Times New Roman" w:eastAsia="Times New Roman" w:hAnsi="Times New Roman"/>
          <w:sz w:val="18"/>
          <w:szCs w:val="18"/>
          <w:color w:val="auto"/>
        </w:rPr>
        <w:t xml:space="preserve"> within various formats, SuprNation’s four brands, </w:t>
      </w:r>
      <w:r>
        <w:rPr>
          <w:rFonts w:ascii="Times New Roman" w:cs="Times New Roman" w:eastAsia="Times New Roman" w:hAnsi="Times New Roman"/>
          <w:sz w:val="18"/>
          <w:szCs w:val="18"/>
          <w:i w:val="1"/>
          <w:iCs w:val="1"/>
          <w:color w:val="auto"/>
        </w:rPr>
        <w:t>Duelz</w:t>
      </w:r>
      <w:r>
        <w:rPr>
          <w:rFonts w:ascii="Times New Roman" w:cs="Times New Roman" w:eastAsia="Times New Roman" w:hAnsi="Times New Roman"/>
          <w:sz w:val="18"/>
          <w:szCs w:val="18"/>
          <w:color w:val="auto"/>
        </w:rPr>
        <w:t>, V</w:t>
      </w:r>
      <w:r>
        <w:rPr>
          <w:rFonts w:ascii="Times New Roman" w:cs="Times New Roman" w:eastAsia="Times New Roman" w:hAnsi="Times New Roman"/>
          <w:sz w:val="18"/>
          <w:szCs w:val="18"/>
          <w:i w:val="1"/>
          <w:iCs w:val="1"/>
          <w:color w:val="auto"/>
        </w:rPr>
        <w:t>oodooDreams</w:t>
      </w:r>
      <w:r>
        <w:rPr>
          <w:rFonts w:ascii="Times New Roman" w:cs="Times New Roman" w:eastAsia="Times New Roman" w:hAnsi="Times New Roman"/>
          <w:sz w:val="18"/>
          <w:szCs w:val="18"/>
          <w:color w:val="auto"/>
        </w:rPr>
        <w:t>, N</w:t>
      </w:r>
      <w:r>
        <w:rPr>
          <w:rFonts w:ascii="Times New Roman" w:cs="Times New Roman" w:eastAsia="Times New Roman" w:hAnsi="Times New Roman"/>
          <w:sz w:val="18"/>
          <w:szCs w:val="18"/>
          <w:i w:val="1"/>
          <w:iCs w:val="1"/>
          <w:color w:val="auto"/>
        </w:rPr>
        <w:t>YSpins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Los Vegas</w:t>
      </w:r>
      <w:r>
        <w:rPr>
          <w:rFonts w:ascii="Times New Roman" w:cs="Times New Roman" w:eastAsia="Times New Roman" w:hAnsi="Times New Roman"/>
          <w:sz w:val="18"/>
          <w:szCs w:val="18"/>
          <w:color w:val="auto"/>
        </w:rPr>
        <w:t xml:space="preserve"> on web platforms, and WHOW Games’ proprietary brands, mainly </w:t>
      </w:r>
      <w:r>
        <w:rPr>
          <w:rFonts w:ascii="Times New Roman" w:cs="Times New Roman" w:eastAsia="Times New Roman" w:hAnsi="Times New Roman"/>
          <w:sz w:val="18"/>
          <w:szCs w:val="18"/>
          <w:i w:val="1"/>
          <w:iCs w:val="1"/>
          <w:color w:val="auto"/>
        </w:rPr>
        <w:t>MyJackpot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Lounge777</w:t>
      </w:r>
      <w:r>
        <w:rPr>
          <w:rFonts w:ascii="Times New Roman" w:cs="Times New Roman" w:eastAsia="Times New Roman" w:hAnsi="Times New Roman"/>
          <w:sz w:val="18"/>
          <w:szCs w:val="18"/>
          <w:color w:val="auto"/>
        </w:rPr>
        <w:t xml:space="preserve">, and licensed brand, mainly </w:t>
      </w:r>
      <w:r>
        <w:rPr>
          <w:rFonts w:ascii="Times New Roman" w:cs="Times New Roman" w:eastAsia="Times New Roman" w:hAnsi="Times New Roman"/>
          <w:sz w:val="18"/>
          <w:szCs w:val="18"/>
          <w:i w:val="1"/>
          <w:iCs w:val="1"/>
          <w:color w:val="auto"/>
        </w:rPr>
        <w:t>Merkur24</w:t>
      </w:r>
      <w:r>
        <w:rPr>
          <w:rFonts w:ascii="Times New Roman" w:cs="Times New Roman" w:eastAsia="Times New Roman" w:hAnsi="Times New Roman"/>
          <w:sz w:val="18"/>
          <w:szCs w:val="18"/>
          <w:color w:val="auto"/>
        </w:rPr>
        <w:t>, on both web and mobile platforms.</w:t>
      </w:r>
    </w:p>
    <w:p>
      <w:pPr>
        <w:spacing w:after="0" w:line="146" w:lineRule="exact"/>
        <w:rPr>
          <w:sz w:val="20"/>
          <w:szCs w:val="20"/>
          <w:color w:val="auto"/>
        </w:rPr>
      </w:pPr>
    </w:p>
    <w:p>
      <w:pPr>
        <w:ind w:right="260"/>
        <w:spacing w:after="0" w:line="304" w:lineRule="auto"/>
        <w:rPr>
          <w:sz w:val="20"/>
          <w:szCs w:val="20"/>
          <w:color w:val="auto"/>
        </w:rPr>
      </w:pPr>
      <w:r>
        <w:rPr>
          <w:rFonts w:ascii="Times New Roman" w:cs="Times New Roman" w:eastAsia="Times New Roman" w:hAnsi="Times New Roman"/>
          <w:sz w:val="18"/>
          <w:szCs w:val="18"/>
          <w:color w:val="auto"/>
        </w:rPr>
        <w:t xml:space="preserve">On September 2, 2021, we completed our initial public offering (“IPO”) of American Depositary Shares (“ADSs”), each representing 0.05 share of a common share, with par value of </w:t>
      </w:r>
      <w:r>
        <w:rPr>
          <w:rFonts w:ascii="Arial" w:cs="Arial" w:eastAsia="Arial" w:hAnsi="Arial"/>
          <w:sz w:val="18"/>
          <w:szCs w:val="18"/>
          <w:color w:val="auto"/>
        </w:rPr>
        <w:t>₩</w:t>
      </w:r>
      <w:r>
        <w:rPr>
          <w:rFonts w:ascii="Times New Roman" w:cs="Times New Roman" w:eastAsia="Times New Roman" w:hAnsi="Times New Roman"/>
          <w:sz w:val="18"/>
          <w:szCs w:val="18"/>
          <w:color w:val="auto"/>
        </w:rPr>
        <w:t>10,000 per share, of the Company. Our ADSs trade on the NASDAQ Stock Market (“NASDAQ”) under the symbol “DDI.”</w:t>
      </w:r>
    </w:p>
    <w:p>
      <w:pPr>
        <w:spacing w:after="0" w:line="1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preparation and material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22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The accompanying condensed consolidated interim financial statements are presented in conformity with IAS 34, Interim Financial Reporting, as issued by International Accounting Standard Board (“IASB”), and include the accounts of DDI and its controlled subsidiaries. All intercompany transactions, balances, and unrealized gains or losses have been eliminated. Our unaudited condensed consolidated interim financial statements include all adjustments of a normal, recurring nature necessary for the fair statement of the results for the interim periods presented. The results for the interim period presented are not necessarily indicative of those for the full year. The condensed consolidated interim financial statements should be read in conjunction with our audited consolidated financial statements for the year ended December 31, 2025.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estimates and assumptions that affect the reported amounts of assets and liabilities, revenues and expenses, and related disclosures.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The actual results experienced may differ materially and adversely from these estimates. To the extent there are material differences between the estimates and the actual results, future operating results may be affected.</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0" w:right="359" w:bottom="1440" w:gutter="0" w:footer="0" w:header="0"/>
        </w:sectPr>
      </w:pPr>
    </w:p>
    <w:bookmarkStart w:id="16" w:name="page17"/>
    <w:bookmarkEnd w:id="16"/>
    <w:p>
      <w:pPr>
        <w:ind w:right="220"/>
        <w:spacing w:after="0" w:line="305" w:lineRule="auto"/>
        <w:rPr>
          <w:sz w:val="20"/>
          <w:szCs w:val="20"/>
          <w:color w:val="auto"/>
        </w:rPr>
      </w:pPr>
      <w:r>
        <w:rPr>
          <w:rFonts w:ascii="Times New Roman" w:cs="Times New Roman" w:eastAsia="Times New Roman" w:hAnsi="Times New Roman"/>
          <w:sz w:val="18"/>
          <w:szCs w:val="18"/>
          <w:color w:val="auto"/>
        </w:rPr>
        <w:t>The significant accounting estimates and assumptions used in the preparation of these condensed consolidated interim financial statements are consistent with those applied in the preparation of the annual consolidated financial statements for the year ended December 31, 2025, except for the estimation method used in determining income tax expense.</w:t>
      </w:r>
    </w:p>
    <w:p>
      <w:pPr>
        <w:spacing w:after="0" w:line="183" w:lineRule="exact"/>
        <w:rPr>
          <w:sz w:val="20"/>
          <w:szCs w:val="20"/>
          <w:color w:val="auto"/>
        </w:rPr>
      </w:pPr>
    </w:p>
    <w:p>
      <w:pPr>
        <w:ind w:right="500"/>
        <w:spacing w:after="0" w:line="313" w:lineRule="auto"/>
        <w:rPr>
          <w:sz w:val="20"/>
          <w:szCs w:val="20"/>
          <w:color w:val="auto"/>
        </w:rPr>
      </w:pPr>
      <w:r>
        <w:rPr>
          <w:rFonts w:ascii="Times New Roman" w:cs="Times New Roman" w:eastAsia="Times New Roman" w:hAnsi="Times New Roman"/>
          <w:sz w:val="18"/>
          <w:szCs w:val="18"/>
          <w:color w:val="auto"/>
        </w:rPr>
        <w:t>The income tax expense for the interim period is calculated by applying the estimated average annual effective tax rate to the profit before tax for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29" w:lineRule="exact"/>
        <w:rPr>
          <w:sz w:val="20"/>
          <w:szCs w:val="20"/>
          <w:color w:val="auto"/>
        </w:rPr>
      </w:pPr>
    </w:p>
    <w:p>
      <w:pPr>
        <w:ind w:right="360"/>
        <w:spacing w:after="0" w:line="305" w:lineRule="auto"/>
        <w:rPr>
          <w:sz w:val="20"/>
          <w:szCs w:val="20"/>
          <w:color w:val="auto"/>
        </w:rPr>
      </w:pPr>
      <w:r>
        <w:rPr>
          <w:rFonts w:ascii="Times New Roman" w:cs="Times New Roman" w:eastAsia="Times New Roman" w:hAnsi="Times New Roman"/>
          <w:sz w:val="18"/>
          <w:szCs w:val="18"/>
          <w:color w:val="auto"/>
        </w:rPr>
        <w:t>The accounting policies applied in the preparation of these condensed consolidated interim financial statements are consistent with those applied in the preparation of the consolidated financial statements as of and for the year ended December 31, 2025, except for the adoption of new standards or interpretations effective from January 1, 2026.</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standards and interpretations adopted during the interim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IFRS 7 Financial Instruments: Disclosures and IFRS 9 Financial Instruments - Classification and Measurement of Financial Instruments</w:t>
      </w:r>
    </w:p>
    <w:p>
      <w:pPr>
        <w:spacing w:after="0" w:line="200"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8"/>
          <w:szCs w:val="18"/>
          <w:color w:val="auto"/>
        </w:rPr>
        <w:t>The amendments to IFRS 7 and IFRS 9 clarify the classification and measurement of financial assets, including the assessment of the solely payments of principal and interest criterion for financial assets with ESG-linked features. The amendments are effective for annual reporting periods beginning on or after January 1, 2026, with earlier adoption permitted. The Company has applied the amendments retrospectively to the earliest comparative period presented. The adoption of these amendments does not have a material impact on the Company’s condensed consolidated interim financial statements.</w:t>
      </w:r>
    </w:p>
    <w:p>
      <w:pPr>
        <w:spacing w:after="0" w:line="2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Financial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by category as of March 31, 2026 and December 31, 2025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gridSpan w:val="3"/>
          </w:tcPr>
          <w:p>
            <w:pPr>
              <w:jc w:val="right"/>
              <w:ind w:right="175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7"/>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8"/>
        </w:trPr>
        <w:tc>
          <w:tcPr>
            <w:tcW w:w="4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Financial assets at fair value</w:t>
            </w:r>
          </w:p>
        </w:tc>
        <w:tc>
          <w:tcPr>
            <w:tcW w:w="220" w:type="dxa"/>
            <w:vAlign w:val="bottom"/>
          </w:tcPr>
          <w:p>
            <w:pPr>
              <w:spacing w:after="0"/>
              <w:rPr>
                <w:sz w:val="18"/>
                <w:szCs w:val="18"/>
                <w:color w:val="auto"/>
              </w:rPr>
            </w:pPr>
          </w:p>
        </w:tc>
        <w:tc>
          <w:tcPr>
            <w:tcW w:w="2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Financial assets measured at</w:t>
            </w:r>
          </w:p>
        </w:tc>
      </w:tr>
      <w:tr>
        <w:trPr>
          <w:trHeight w:val="234"/>
        </w:trPr>
        <w:tc>
          <w:tcPr>
            <w:tcW w:w="46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through profit or loss</w:t>
            </w:r>
          </w:p>
        </w:tc>
        <w:tc>
          <w:tcPr>
            <w:tcW w:w="220" w:type="dxa"/>
            <w:vAlign w:val="bottom"/>
          </w:tcPr>
          <w:p>
            <w:pPr>
              <w:spacing w:after="0"/>
              <w:rPr>
                <w:sz w:val="20"/>
                <w:szCs w:val="20"/>
                <w:color w:val="auto"/>
              </w:rPr>
            </w:pPr>
          </w:p>
        </w:tc>
        <w:tc>
          <w:tcPr>
            <w:tcW w:w="22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7"/>
        </w:trPr>
        <w:tc>
          <w:tcPr>
            <w:tcW w:w="4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43"/>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432,846</w:t>
            </w:r>
          </w:p>
        </w:tc>
      </w:tr>
      <w:tr>
        <w:trPr>
          <w:trHeight w:val="27"/>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100,565</w:t>
            </w:r>
          </w:p>
        </w:tc>
      </w:tr>
      <w:tr>
        <w:trPr>
          <w:trHeight w:val="243"/>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28,194</w:t>
            </w:r>
          </w:p>
        </w:tc>
      </w:tr>
      <w:tr>
        <w:trPr>
          <w:trHeight w:val="27"/>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561,605</w:t>
            </w:r>
          </w:p>
        </w:tc>
      </w:tr>
      <w:tr>
        <w:trPr>
          <w:trHeight w:val="243"/>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702"/>
        </w:trPr>
        <w:tc>
          <w:tcPr>
            <w:tcW w:w="4640" w:type="dxa"/>
            <w:vAlign w:val="bottom"/>
          </w:tcPr>
          <w:p>
            <w:pPr>
              <w:spacing w:after="0"/>
              <w:rPr>
                <w:sz w:val="24"/>
                <w:szCs w:val="24"/>
                <w:color w:val="auto"/>
              </w:rPr>
            </w:pPr>
          </w:p>
        </w:tc>
        <w:tc>
          <w:tcPr>
            <w:tcW w:w="18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F-7</w:t>
            </w: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1"/>
        </w:trPr>
        <w:tc>
          <w:tcPr>
            <w:tcW w:w="46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gridSpan w:val="3"/>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8"/>
        </w:trPr>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Financial assets at fair value</w:t>
            </w:r>
          </w:p>
        </w:tc>
        <w:tc>
          <w:tcPr>
            <w:tcW w:w="220" w:type="dxa"/>
            <w:vAlign w:val="bottom"/>
          </w:tcPr>
          <w:p>
            <w:pPr>
              <w:spacing w:after="0"/>
              <w:rPr>
                <w:sz w:val="18"/>
                <w:szCs w:val="18"/>
                <w:color w:val="auto"/>
              </w:rPr>
            </w:pPr>
          </w:p>
        </w:tc>
        <w:tc>
          <w:tcPr>
            <w:tcW w:w="2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Financial assets measured at</w:t>
            </w:r>
          </w:p>
        </w:tc>
      </w:tr>
      <w:tr>
        <w:trPr>
          <w:trHeight w:val="234"/>
        </w:trPr>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through profit or loss</w:t>
            </w:r>
          </w:p>
        </w:tc>
        <w:tc>
          <w:tcPr>
            <w:tcW w:w="220" w:type="dxa"/>
            <w:vAlign w:val="bottom"/>
          </w:tcPr>
          <w:p>
            <w:pPr>
              <w:spacing w:after="0"/>
              <w:rPr>
                <w:sz w:val="20"/>
                <w:szCs w:val="20"/>
                <w:color w:val="auto"/>
              </w:rPr>
            </w:pPr>
          </w:p>
        </w:tc>
        <w:tc>
          <w:tcPr>
            <w:tcW w:w="22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388,891</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101,142</w:t>
            </w:r>
          </w:p>
        </w:tc>
      </w:tr>
      <w:tr>
        <w:trPr>
          <w:trHeight w:val="243"/>
        </w:trPr>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32,017</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income</w:t>
            </w: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522,998</w:t>
            </w:r>
          </w:p>
        </w:tc>
      </w:tr>
      <w:tr>
        <w:trPr>
          <w:trHeight w:val="243"/>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Financial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liabilities by category as of March 31, 2026 and December 31, 2025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gridSpan w:val="3"/>
          </w:tcPr>
          <w:p>
            <w:pPr>
              <w:jc w:val="right"/>
              <w:ind w:right="175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7"/>
        </w:trPr>
        <w:tc>
          <w:tcPr>
            <w:tcW w:w="6380" w:type="dxa"/>
            <w:vAlign w:val="bottom"/>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8"/>
        </w:trPr>
        <w:tc>
          <w:tcPr>
            <w:tcW w:w="6380" w:type="dxa"/>
            <w:vAlign w:val="bottom"/>
          </w:tcPr>
          <w:p>
            <w:pPr>
              <w:spacing w:after="0"/>
              <w:rPr>
                <w:sz w:val="18"/>
                <w:szCs w:val="18"/>
                <w:color w:val="auto"/>
              </w:rPr>
            </w:pPr>
          </w:p>
        </w:tc>
        <w:tc>
          <w:tcPr>
            <w:tcW w:w="2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Financial liabilities at fair value</w:t>
            </w:r>
          </w:p>
        </w:tc>
        <w:tc>
          <w:tcPr>
            <w:tcW w:w="160" w:type="dxa"/>
            <w:vAlign w:val="bottom"/>
          </w:tcPr>
          <w:p>
            <w:pPr>
              <w:spacing w:after="0"/>
              <w:rPr>
                <w:sz w:val="18"/>
                <w:szCs w:val="18"/>
                <w:color w:val="auto"/>
              </w:rPr>
            </w:pPr>
          </w:p>
        </w:tc>
        <w:tc>
          <w:tcPr>
            <w:tcW w:w="2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Financial liabilities measured</w:t>
            </w:r>
          </w:p>
        </w:tc>
      </w:tr>
      <w:tr>
        <w:trPr>
          <w:trHeight w:val="234"/>
        </w:trPr>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through profit or loss</w:t>
            </w:r>
          </w:p>
        </w:tc>
        <w:tc>
          <w:tcPr>
            <w:tcW w:w="160" w:type="dxa"/>
            <w:vAlign w:val="bottom"/>
          </w:tcPr>
          <w:p>
            <w:pPr>
              <w:spacing w:after="0"/>
              <w:rPr>
                <w:sz w:val="20"/>
                <w:szCs w:val="20"/>
                <w:color w:val="auto"/>
              </w:rPr>
            </w:pPr>
          </w:p>
        </w:tc>
        <w:tc>
          <w:tcPr>
            <w:tcW w:w="2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at amortized cost</w:t>
            </w:r>
          </w:p>
        </w:tc>
      </w:tr>
      <w:tr>
        <w:trPr>
          <w:trHeight w:val="27"/>
        </w:trPr>
        <w:tc>
          <w:tcPr>
            <w:tcW w:w="6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4,804</w:t>
            </w:r>
          </w:p>
        </w:tc>
      </w:tr>
      <w:tr>
        <w:trPr>
          <w:trHeight w:val="27"/>
        </w:trPr>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21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16,443</w:t>
            </w:r>
          </w:p>
        </w:tc>
      </w:tr>
      <w:tr>
        <w:trPr>
          <w:trHeight w:val="243"/>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80" w:type="dxa"/>
            <w:vAlign w:val="bottom"/>
          </w:tcPr>
          <w:p>
            <w:pPr>
              <w:spacing w:after="0"/>
              <w:rPr>
                <w:sz w:val="21"/>
                <w:szCs w:val="21"/>
                <w:color w:val="auto"/>
              </w:rPr>
            </w:pPr>
          </w:p>
        </w:tc>
        <w:tc>
          <w:tcPr>
            <w:tcW w:w="21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1,962</w:t>
            </w:r>
          </w:p>
        </w:tc>
      </w:tr>
      <w:tr>
        <w:trPr>
          <w:trHeight w:val="27"/>
        </w:trPr>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borrowings with related party</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33,038</w:t>
            </w:r>
          </w:p>
        </w:tc>
      </w:tr>
      <w:tr>
        <w:trPr>
          <w:trHeight w:val="243"/>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56,247</w:t>
            </w:r>
          </w:p>
        </w:tc>
      </w:tr>
      <w:tr>
        <w:trPr>
          <w:trHeight w:val="27"/>
        </w:trPr>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80" w:type="dxa"/>
            <w:vAlign w:val="bottom"/>
          </w:tcPr>
          <w:p>
            <w:pPr>
              <w:spacing w:after="0"/>
              <w:rPr>
                <w:sz w:val="21"/>
                <w:szCs w:val="21"/>
                <w:color w:val="auto"/>
              </w:rPr>
            </w:pPr>
          </w:p>
        </w:tc>
        <w:tc>
          <w:tcPr>
            <w:tcW w:w="21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3,655</w:t>
            </w:r>
          </w:p>
        </w:tc>
      </w:tr>
      <w:tr>
        <w:trPr>
          <w:trHeight w:val="27"/>
        </w:trPr>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4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3,655</w:t>
            </w:r>
          </w:p>
        </w:tc>
      </w:tr>
      <w:tr>
        <w:trPr>
          <w:trHeight w:val="27"/>
        </w:trPr>
        <w:tc>
          <w:tcPr>
            <w:tcW w:w="6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 payroll liabilities that should be paid to employees such as annual leave allowance.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gridSpan w:val="2"/>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3"/>
                <w:szCs w:val="23"/>
                <w:color w:val="auto"/>
              </w:rPr>
            </w:pPr>
          </w:p>
        </w:tc>
        <w:tc>
          <w:tcPr>
            <w:tcW w:w="2560" w:type="dxa"/>
            <w:vAlign w:val="bottom"/>
            <w:tcBorders>
              <w:bottom w:val="single" w:sz="8" w:color="auto"/>
            </w:tcBorders>
            <w:gridSpan w:val="2"/>
          </w:tcPr>
          <w:p>
            <w:pPr>
              <w:spacing w:after="0"/>
              <w:rPr>
                <w:sz w:val="23"/>
                <w:szCs w:val="23"/>
                <w:color w:val="auto"/>
              </w:rPr>
            </w:pPr>
          </w:p>
        </w:tc>
        <w:tc>
          <w:tcPr>
            <w:tcW w:w="2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380" w:type="dxa"/>
            <w:vAlign w:val="bottom"/>
          </w:tcPr>
          <w:p>
            <w:pPr>
              <w:spacing w:after="0"/>
              <w:rPr>
                <w:sz w:val="21"/>
                <w:szCs w:val="21"/>
                <w:color w:val="auto"/>
              </w:rPr>
            </w:pPr>
          </w:p>
        </w:tc>
        <w:tc>
          <w:tcPr>
            <w:tcW w:w="2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Financial liabilities at fair value</w:t>
            </w:r>
          </w:p>
        </w:tc>
        <w:tc>
          <w:tcPr>
            <w:tcW w:w="2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9"/>
              </w:rPr>
              <w:t>Financial liabilities measured</w:t>
            </w:r>
          </w:p>
        </w:tc>
        <w:tc>
          <w:tcPr>
            <w:tcW w:w="0" w:type="dxa"/>
            <w:vAlign w:val="bottom"/>
          </w:tcPr>
          <w:p>
            <w:pPr>
              <w:spacing w:after="0"/>
              <w:rPr>
                <w:sz w:val="1"/>
                <w:szCs w:val="1"/>
                <w:color w:val="auto"/>
              </w:rPr>
            </w:pPr>
          </w:p>
        </w:tc>
      </w:tr>
      <w:tr>
        <w:trPr>
          <w:trHeight w:val="103"/>
        </w:trPr>
        <w:tc>
          <w:tcPr>
            <w:tcW w:w="6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through profit or loss</w:t>
            </w: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3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at amortized cost</w:t>
            </w:r>
          </w:p>
        </w:tc>
        <w:tc>
          <w:tcPr>
            <w:tcW w:w="0" w:type="dxa"/>
            <w:vAlign w:val="bottom"/>
          </w:tcPr>
          <w:p>
            <w:pPr>
              <w:spacing w:after="0"/>
              <w:rPr>
                <w:sz w:val="1"/>
                <w:szCs w:val="1"/>
                <w:color w:val="auto"/>
              </w:rPr>
            </w:pPr>
          </w:p>
        </w:tc>
      </w:tr>
      <w:tr>
        <w:trPr>
          <w:trHeight w:val="94"/>
        </w:trPr>
        <w:tc>
          <w:tcPr>
            <w:tcW w:w="6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17,080</w:t>
            </w:r>
          </w:p>
        </w:tc>
        <w:tc>
          <w:tcPr>
            <w:tcW w:w="0" w:type="dxa"/>
            <w:vAlign w:val="bottom"/>
          </w:tcPr>
          <w:p>
            <w:pPr>
              <w:spacing w:after="0"/>
              <w:rPr>
                <w:sz w:val="1"/>
                <w:szCs w:val="1"/>
                <w:color w:val="auto"/>
              </w:rPr>
            </w:pPr>
          </w:p>
        </w:tc>
      </w:tr>
      <w:tr>
        <w:trPr>
          <w:trHeight w:val="108"/>
        </w:trPr>
        <w:tc>
          <w:tcPr>
            <w:tcW w:w="63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2"/>
                <w:szCs w:val="22"/>
                <w:color w:val="auto"/>
              </w:rPr>
            </w:pPr>
          </w:p>
        </w:tc>
        <w:tc>
          <w:tcPr>
            <w:tcW w:w="22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0" w:type="dxa"/>
            <w:vAlign w:val="bottom"/>
          </w:tcPr>
          <w:p>
            <w:pPr>
              <w:spacing w:after="0"/>
              <w:rPr>
                <w:sz w:val="1"/>
                <w:szCs w:val="1"/>
                <w:color w:val="auto"/>
              </w:rPr>
            </w:pPr>
          </w:p>
        </w:tc>
      </w:tr>
      <w:tr>
        <w:trPr>
          <w:trHeight w:val="177"/>
        </w:trPr>
        <w:tc>
          <w:tcPr>
            <w:tcW w:w="638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3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6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80" w:type="dxa"/>
            <w:vAlign w:val="bottom"/>
          </w:tcPr>
          <w:p>
            <w:pPr>
              <w:spacing w:after="0"/>
              <w:rPr>
                <w:sz w:val="22"/>
                <w:szCs w:val="22"/>
                <w:color w:val="auto"/>
              </w:rPr>
            </w:pPr>
          </w:p>
        </w:tc>
        <w:tc>
          <w:tcPr>
            <w:tcW w:w="22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108"/>
        </w:trPr>
        <w:tc>
          <w:tcPr>
            <w:tcW w:w="63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borrowings with related party</w:t>
            </w:r>
          </w:p>
        </w:tc>
        <w:tc>
          <w:tcPr>
            <w:tcW w:w="280" w:type="dxa"/>
            <w:vAlign w:val="bottom"/>
            <w:shd w:val="clear" w:color="auto" w:fill="CCEEFF"/>
          </w:tcPr>
          <w:p>
            <w:pPr>
              <w:spacing w:after="0"/>
              <w:rPr>
                <w:sz w:val="22"/>
                <w:szCs w:val="22"/>
                <w:color w:val="auto"/>
              </w:rPr>
            </w:pPr>
          </w:p>
        </w:tc>
        <w:tc>
          <w:tcPr>
            <w:tcW w:w="22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34,846</w:t>
            </w:r>
          </w:p>
        </w:tc>
        <w:tc>
          <w:tcPr>
            <w:tcW w:w="0" w:type="dxa"/>
            <w:vAlign w:val="bottom"/>
          </w:tcPr>
          <w:p>
            <w:pPr>
              <w:spacing w:after="0"/>
              <w:rPr>
                <w:sz w:val="1"/>
                <w:szCs w:val="1"/>
                <w:color w:val="auto"/>
              </w:rPr>
            </w:pPr>
          </w:p>
        </w:tc>
      </w:tr>
      <w:tr>
        <w:trPr>
          <w:trHeight w:val="108"/>
        </w:trPr>
        <w:tc>
          <w:tcPr>
            <w:tcW w:w="638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23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57,953</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80" w:type="dxa"/>
            <w:vAlign w:val="bottom"/>
          </w:tcPr>
          <w:p>
            <w:pPr>
              <w:spacing w:after="0"/>
              <w:rPr>
                <w:sz w:val="22"/>
                <w:szCs w:val="22"/>
                <w:color w:val="auto"/>
              </w:rPr>
            </w:pPr>
          </w:p>
        </w:tc>
        <w:tc>
          <w:tcPr>
            <w:tcW w:w="22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108"/>
        </w:trPr>
        <w:tc>
          <w:tcPr>
            <w:tcW w:w="63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 with related party</w:t>
            </w:r>
          </w:p>
        </w:tc>
        <w:tc>
          <w:tcPr>
            <w:tcW w:w="280" w:type="dxa"/>
            <w:vAlign w:val="bottom"/>
            <w:shd w:val="clear" w:color="auto" w:fill="CCEEFF"/>
          </w:tcPr>
          <w:p>
            <w:pPr>
              <w:spacing w:after="0"/>
              <w:rPr>
                <w:sz w:val="22"/>
                <w:szCs w:val="22"/>
                <w:color w:val="auto"/>
              </w:rPr>
            </w:pPr>
          </w:p>
        </w:tc>
        <w:tc>
          <w:tcPr>
            <w:tcW w:w="22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638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108"/>
        </w:trPr>
        <w:tc>
          <w:tcPr>
            <w:tcW w:w="63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 payroll liabilities that should be paid to employees such as annual leave allowance.</w:t>
      </w:r>
    </w:p>
    <w:p>
      <w:pPr>
        <w:sectPr>
          <w:pgSz w:w="11900" w:h="16838" w:orient="portrait"/>
          <w:cols w:equalWidth="0" w:num="1">
            <w:col w:w="11240"/>
          </w:cols>
          <w:pgMar w:left="320" w:top="1197" w:right="339" w:bottom="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9" w:name="page20"/>
    <w:bookmarkEnd w:id="19"/>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Fair value hierarchy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hierarchy classifications of the financial assets that are measured at fair value disclosed in fair value as of March 31, 2026 and December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7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Level 2</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Level 3</w:t>
            </w: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1"/>
        </w:trPr>
        <w:tc>
          <w:tcPr>
            <w:tcW w:w="5020" w:type="dxa"/>
            <w:vAlign w:val="bottom"/>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Financial assets and liabilities at fair value through profit or</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5"/>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7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Level 3</w:t>
            </w:r>
          </w:p>
        </w:tc>
        <w:tc>
          <w:tcPr>
            <w:tcW w:w="38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1"/>
        </w:trPr>
        <w:tc>
          <w:tcPr>
            <w:tcW w:w="4940" w:type="dxa"/>
            <w:vAlign w:val="bottom"/>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Financial assets and liabilities at fair value through profit or</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5"/>
        </w:trPr>
        <w:tc>
          <w:tcPr>
            <w:tcW w:w="4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Valuation techniques and the inputs</w:t>
      </w:r>
    </w:p>
    <w:p>
      <w:pPr>
        <w:spacing w:after="0" w:line="54"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8"/>
          <w:szCs w:val="18"/>
          <w:color w:val="auto"/>
        </w:rPr>
        <w:t>The valuation techniques and inputs used for fair value measurements and disclosed fair values categorized within Level 2 and Level 3 of the fair value hierarchy as of March 31, 2026 and December 31, 2025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Valuation techniques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contribution to cooperatives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Market-based fair value approach</w:t>
            </w:r>
          </w:p>
        </w:tc>
        <w:tc>
          <w:tcPr>
            <w:tcW w:w="0" w:type="dxa"/>
            <w:vAlign w:val="bottom"/>
          </w:tcPr>
          <w:p>
            <w:pPr>
              <w:spacing w:after="0"/>
              <w:rPr>
                <w:sz w:val="1"/>
                <w:szCs w:val="1"/>
                <w:color w:val="auto"/>
              </w:rPr>
            </w:pPr>
          </w:p>
        </w:tc>
      </w:tr>
      <w:tr>
        <w:trPr>
          <w:trHeight w:val="225"/>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 (Money Market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3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Trust)</w:t>
            </w:r>
          </w:p>
        </w:tc>
        <w:tc>
          <w:tcPr>
            <w:tcW w:w="260" w:type="dxa"/>
            <w:vAlign w:val="bottom"/>
            <w:vMerge w:val="continue"/>
          </w:tcPr>
          <w:p>
            <w:pPr>
              <w:spacing w:after="0"/>
              <w:rPr>
                <w:sz w:val="10"/>
                <w:szCs w:val="10"/>
                <w:color w:val="auto"/>
              </w:rPr>
            </w:pPr>
          </w:p>
        </w:tc>
        <w:tc>
          <w:tcPr>
            <w:tcW w:w="2020" w:type="dxa"/>
            <w:vAlign w:val="bottom"/>
            <w:gridSpan w:val="2"/>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 Method</w:t>
            </w:r>
          </w:p>
        </w:tc>
        <w:tc>
          <w:tcPr>
            <w:tcW w:w="0" w:type="dxa"/>
            <w:vAlign w:val="bottom"/>
          </w:tcPr>
          <w:p>
            <w:pPr>
              <w:spacing w:after="0"/>
              <w:rPr>
                <w:sz w:val="1"/>
                <w:szCs w:val="1"/>
                <w:color w:val="auto"/>
              </w:rPr>
            </w:pPr>
          </w:p>
        </w:tc>
      </w:tr>
      <w:tr>
        <w:trPr>
          <w:trHeight w:val="135"/>
        </w:trPr>
        <w:tc>
          <w:tcPr>
            <w:tcW w:w="33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Net gains or losses by category of financial instruments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or losses by category of financial instruments for the three months ended March 31, 2026 and 2025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2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or loss</w:t>
            </w:r>
          </w:p>
        </w:tc>
        <w:tc>
          <w:tcPr>
            <w:tcW w:w="5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valuation of financial assets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foreign currency</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valuation of financial assets</w:t>
            </w:r>
          </w:p>
        </w:tc>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disposal</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6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6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foreign currency transactions</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6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foreign currency</w:t>
            </w: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6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foreign currency transactions</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43"/>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or loss</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valuation of financial liabilities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5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6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foreign currency transactions</w:t>
            </w: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foreign currency</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foreign currency transactions</w:t>
            </w: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43"/>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Intangible assets and goodwill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net book value of intangible assets for the three months ended March 31, 2026 and 2025 are as follows (in thousands):</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Trademarks</w:t>
            </w:r>
          </w:p>
        </w:tc>
        <w:tc>
          <w:tcPr>
            <w:tcW w:w="24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Customer</w:t>
            </w:r>
          </w:p>
        </w:tc>
        <w:tc>
          <w:tcPr>
            <w:tcW w:w="2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Purchased</w:t>
            </w:r>
          </w:p>
        </w:tc>
        <w:tc>
          <w:tcPr>
            <w:tcW w:w="340" w:type="dxa"/>
            <w:vAlign w:val="bottom"/>
          </w:tcPr>
          <w:p>
            <w:pPr>
              <w:spacing w:after="0"/>
              <w:rPr>
                <w:sz w:val="18"/>
                <w:szCs w:val="18"/>
                <w:color w:val="auto"/>
              </w:rPr>
            </w:pPr>
          </w:p>
        </w:tc>
        <w:tc>
          <w:tcPr>
            <w:tcW w:w="1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Gaming</w:t>
            </w:r>
          </w:p>
        </w:tc>
        <w:tc>
          <w:tcPr>
            <w:tcW w:w="280" w:type="dxa"/>
            <w:vAlign w:val="bottom"/>
          </w:tcPr>
          <w:p>
            <w:pPr>
              <w:spacing w:after="0"/>
              <w:rPr>
                <w:sz w:val="18"/>
                <w:szCs w:val="18"/>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26"/>
        </w:trPr>
        <w:tc>
          <w:tcPr>
            <w:tcW w:w="2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relationships</w:t>
            </w:r>
          </w:p>
        </w:tc>
        <w:tc>
          <w:tcPr>
            <w:tcW w:w="200" w:type="dxa"/>
            <w:vAlign w:val="bottom"/>
          </w:tcPr>
          <w:p>
            <w:pPr>
              <w:spacing w:after="0"/>
              <w:rPr>
                <w:sz w:val="10"/>
                <w:szCs w:val="10"/>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technology</w:t>
            </w:r>
          </w:p>
        </w:tc>
        <w:tc>
          <w:tcPr>
            <w:tcW w:w="3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License</w:t>
            </w:r>
          </w:p>
        </w:tc>
        <w:tc>
          <w:tcPr>
            <w:tcW w:w="2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506,525</w:t>
            </w:r>
          </w:p>
        </w:tc>
        <w:tc>
          <w:tcPr>
            <w:tcW w:w="0" w:type="dxa"/>
            <w:vAlign w:val="bottom"/>
          </w:tcPr>
          <w:p>
            <w:pPr>
              <w:spacing w:after="0"/>
              <w:rPr>
                <w:sz w:val="1"/>
                <w:szCs w:val="1"/>
                <w:color w:val="auto"/>
              </w:rPr>
            </w:pP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differences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502,265</w:t>
            </w:r>
          </w:p>
        </w:tc>
        <w:tc>
          <w:tcPr>
            <w:tcW w:w="0" w:type="dxa"/>
            <w:vAlign w:val="bottom"/>
          </w:tcPr>
          <w:p>
            <w:pPr>
              <w:spacing w:after="0"/>
              <w:rPr>
                <w:sz w:val="1"/>
                <w:szCs w:val="1"/>
                <w:color w:val="auto"/>
              </w:rPr>
            </w:pPr>
          </w:p>
        </w:tc>
      </w:tr>
    </w:tbl>
    <w:p>
      <w:pPr>
        <w:spacing w:after="0" w:line="329"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Trademarks</w:t>
            </w:r>
          </w:p>
        </w:tc>
        <w:tc>
          <w:tcPr>
            <w:tcW w:w="24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Customer</w:t>
            </w:r>
          </w:p>
        </w:tc>
        <w:tc>
          <w:tcPr>
            <w:tcW w:w="2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Purchased</w:t>
            </w:r>
          </w:p>
        </w:tc>
        <w:tc>
          <w:tcPr>
            <w:tcW w:w="340" w:type="dxa"/>
            <w:vAlign w:val="bottom"/>
          </w:tcPr>
          <w:p>
            <w:pPr>
              <w:spacing w:after="0"/>
              <w:rPr>
                <w:sz w:val="18"/>
                <w:szCs w:val="18"/>
                <w:color w:val="auto"/>
              </w:rPr>
            </w:pPr>
          </w:p>
        </w:tc>
        <w:tc>
          <w:tcPr>
            <w:tcW w:w="1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Gaming</w:t>
            </w:r>
          </w:p>
        </w:tc>
        <w:tc>
          <w:tcPr>
            <w:tcW w:w="280" w:type="dxa"/>
            <w:vAlign w:val="bottom"/>
          </w:tcPr>
          <w:p>
            <w:pPr>
              <w:spacing w:after="0"/>
              <w:rPr>
                <w:sz w:val="18"/>
                <w:szCs w:val="18"/>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26"/>
        </w:trPr>
        <w:tc>
          <w:tcPr>
            <w:tcW w:w="2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relationships</w:t>
            </w:r>
          </w:p>
        </w:tc>
        <w:tc>
          <w:tcPr>
            <w:tcW w:w="200" w:type="dxa"/>
            <w:vAlign w:val="bottom"/>
          </w:tcPr>
          <w:p>
            <w:pPr>
              <w:spacing w:after="0"/>
              <w:rPr>
                <w:sz w:val="10"/>
                <w:szCs w:val="10"/>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technology</w:t>
            </w:r>
          </w:p>
        </w:tc>
        <w:tc>
          <w:tcPr>
            <w:tcW w:w="3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License</w:t>
            </w:r>
          </w:p>
        </w:tc>
        <w:tc>
          <w:tcPr>
            <w:tcW w:w="2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443,470</w:t>
            </w:r>
          </w:p>
        </w:tc>
        <w:tc>
          <w:tcPr>
            <w:tcW w:w="0" w:type="dxa"/>
            <w:vAlign w:val="bottom"/>
          </w:tcPr>
          <w:p>
            <w:pPr>
              <w:spacing w:after="0"/>
              <w:rPr>
                <w:sz w:val="1"/>
                <w:szCs w:val="1"/>
                <w:color w:val="auto"/>
              </w:rPr>
            </w:pP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differences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443,790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Our leases primarily consist of real estate leases for office space and do not have any non-lease components. The leases typically run for a period</w:t>
      </w:r>
    </w:p>
    <w:p>
      <w:pPr>
        <w:spacing w:after="0" w:line="54"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8"/>
          <w:szCs w:val="18"/>
          <w:color w:val="auto"/>
        </w:rPr>
        <w:t>of 2 ~10 years, with an option to renew or terminate the lease after that date. No restrictions or covenants are imposed on leases, but the lease assets shall not be provided as collateral for borrowings.</w:t>
      </w:r>
    </w:p>
    <w:p>
      <w:pPr>
        <w:spacing w:after="0" w:line="1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Changes in right-of-use assets and lease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right-of-use assets and lease liabilities for the three months ended March 31, 2026 and 2025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Right-of-use assets</w:t>
            </w:r>
          </w:p>
        </w:tc>
        <w:tc>
          <w:tcPr>
            <w:tcW w:w="440" w:type="dxa"/>
            <w:vAlign w:val="bottom"/>
          </w:tcPr>
          <w:p>
            <w:pPr>
              <w:spacing w:after="0"/>
              <w:rPr>
                <w:sz w:val="20"/>
                <w:szCs w:val="20"/>
                <w:color w:val="auto"/>
              </w:rPr>
            </w:pPr>
          </w:p>
        </w:tc>
        <w:tc>
          <w:tcPr>
            <w:tcW w:w="20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Lease liabilities</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6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Office</w:t>
            </w:r>
          </w:p>
        </w:tc>
        <w:tc>
          <w:tcPr>
            <w:tcW w:w="44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2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relating to lease liabilities</w:t>
            </w:r>
          </w:p>
        </w:tc>
        <w:tc>
          <w:tcPr>
            <w:tcW w:w="2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of lease liabilities</w:t>
            </w:r>
          </w:p>
        </w:tc>
        <w:tc>
          <w:tcPr>
            <w:tcW w:w="2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Translation differences</w:t>
            </w:r>
          </w:p>
        </w:tc>
        <w:tc>
          <w:tcPr>
            <w:tcW w:w="2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5,617</w:t>
            </w:r>
          </w:p>
        </w:tc>
        <w:tc>
          <w:tcPr>
            <w:tcW w:w="0" w:type="dxa"/>
            <w:vAlign w:val="bottom"/>
          </w:tcPr>
          <w:p>
            <w:pPr>
              <w:spacing w:after="0"/>
              <w:rPr>
                <w:sz w:val="1"/>
                <w:szCs w:val="1"/>
                <w:color w:val="auto"/>
              </w:rPr>
            </w:pPr>
          </w:p>
        </w:tc>
      </w:tr>
      <w:tr>
        <w:trPr>
          <w:trHeight w:val="675"/>
        </w:trPr>
        <w:tc>
          <w:tcPr>
            <w:tcW w:w="4320" w:type="dxa"/>
            <w:vAlign w:val="bottom"/>
          </w:tcPr>
          <w:p>
            <w:pPr>
              <w:spacing w:after="0"/>
              <w:rPr>
                <w:sz w:val="24"/>
                <w:szCs w:val="24"/>
                <w:color w:val="auto"/>
              </w:rPr>
            </w:pP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F-11</w:t>
            </w: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Right-of-use assets</w:t>
            </w:r>
          </w:p>
        </w:tc>
        <w:tc>
          <w:tcPr>
            <w:tcW w:w="480" w:type="dxa"/>
            <w:vAlign w:val="bottom"/>
          </w:tcPr>
          <w:p>
            <w:pPr>
              <w:spacing w:after="0"/>
              <w:rPr>
                <w:sz w:val="20"/>
                <w:szCs w:val="20"/>
                <w:color w:val="auto"/>
              </w:rPr>
            </w:pPr>
          </w:p>
        </w:tc>
        <w:tc>
          <w:tcPr>
            <w:tcW w:w="2500" w:type="dxa"/>
            <w:vAlign w:val="bottom"/>
            <w:gridSpan w:val="3"/>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Lease liabilities</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9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Office</w:t>
            </w:r>
          </w:p>
        </w:tc>
        <w:tc>
          <w:tcPr>
            <w:tcW w:w="48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900" w:type="dxa"/>
            <w:vAlign w:val="bottom"/>
            <w:tcBorders>
              <w:bottom w:val="single" w:sz="8" w:color="CCEEFF"/>
            </w:tcBorders>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4,308</w:t>
            </w:r>
          </w:p>
        </w:tc>
        <w:tc>
          <w:tcPr>
            <w:tcW w:w="102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relating to lease liabilities</w:t>
            </w:r>
          </w:p>
        </w:tc>
        <w:tc>
          <w:tcPr>
            <w:tcW w:w="1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Payments of lease liabilities</w:t>
            </w:r>
          </w:p>
        </w:tc>
        <w:tc>
          <w:tcPr>
            <w:tcW w:w="1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 differences</w:t>
            </w:r>
          </w:p>
        </w:tc>
        <w:tc>
          <w:tcPr>
            <w:tcW w:w="1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9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4,046</w:t>
            </w:r>
          </w:p>
        </w:tc>
        <w:tc>
          <w:tcPr>
            <w:tcW w:w="10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702"/>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Short-term and Long-term borrowings</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borrowings from DoubleU Games (in thousands):</w:t>
            </w:r>
          </w:p>
        </w:tc>
        <w:tc>
          <w:tcPr>
            <w:tcW w:w="1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5080" w:type="dxa"/>
            <w:vAlign w:val="bottom"/>
          </w:tcPr>
          <w:p>
            <w:pPr>
              <w:spacing w:after="0"/>
              <w:rPr>
                <w:sz w:val="24"/>
                <w:szCs w:val="24"/>
                <w:color w:val="auto"/>
              </w:rPr>
            </w:pP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90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30"/>
        </w:trPr>
        <w:tc>
          <w:tcPr>
            <w:tcW w:w="50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Current portion of borrowings with related party </w:t>
            </w:r>
            <w:r>
              <w:rPr>
                <w:rFonts w:ascii="Times New Roman" w:cs="Times New Roman" w:eastAsia="Times New Roman" w:hAnsi="Times New Roman"/>
                <w:sz w:val="23"/>
                <w:szCs w:val="23"/>
                <w:color w:val="auto"/>
                <w:vertAlign w:val="superscript"/>
              </w:rPr>
              <w:t>(1)</w:t>
            </w:r>
          </w:p>
        </w:tc>
        <w:tc>
          <w:tcPr>
            <w:tcW w:w="19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May 27,</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34,846</w:t>
            </w:r>
          </w:p>
        </w:tc>
        <w:tc>
          <w:tcPr>
            <w:tcW w:w="0" w:type="dxa"/>
            <w:vAlign w:val="bottom"/>
          </w:tcPr>
          <w:p>
            <w:pPr>
              <w:spacing w:after="0"/>
              <w:rPr>
                <w:sz w:val="1"/>
                <w:szCs w:val="1"/>
                <w:color w:val="auto"/>
              </w:rPr>
            </w:pPr>
          </w:p>
        </w:tc>
      </w:tr>
      <w:tr>
        <w:trPr>
          <w:trHeight w:val="189"/>
        </w:trPr>
        <w:tc>
          <w:tcPr>
            <w:tcW w:w="6360" w:type="dxa"/>
            <w:vAlign w:val="bottom"/>
            <w:gridSpan w:val="2"/>
            <w:shd w:val="clear" w:color="auto" w:fill="CCEEFF"/>
          </w:tcPr>
          <w:p>
            <w:pPr>
              <w:ind w:left="5560"/>
              <w:spacing w:after="0" w:line="189" w:lineRule="exact"/>
              <w:rPr>
                <w:sz w:val="20"/>
                <w:szCs w:val="20"/>
                <w:color w:val="auto"/>
              </w:rPr>
            </w:pPr>
            <w:r>
              <w:rPr>
                <w:rFonts w:ascii="Times New Roman" w:cs="Times New Roman" w:eastAsia="Times New Roman" w:hAnsi="Times New Roman"/>
                <w:sz w:val="18"/>
                <w:szCs w:val="18"/>
                <w:color w:val="auto"/>
              </w:rPr>
              <w:t>4.60%</w:t>
            </w:r>
          </w:p>
        </w:tc>
        <w:tc>
          <w:tcPr>
            <w:tcW w:w="1900" w:type="dxa"/>
            <w:vAlign w:val="bottom"/>
            <w:shd w:val="clear" w:color="auto" w:fill="CCEEFF"/>
          </w:tcPr>
          <w:p>
            <w:pPr>
              <w:jc w:val="center"/>
              <w:ind w:left="170"/>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DoubleU Games extended three loans to us on May 25, 2018, August 27, 2018, and November 26, 2018 (collectively, the “4.6% Senior Notes”), and</w:t>
      </w:r>
    </w:p>
    <w:p>
      <w:pPr>
        <w:spacing w:after="0" w:line="49" w:lineRule="exact"/>
        <w:rPr>
          <w:rFonts w:ascii="Times New Roman" w:cs="Times New Roman" w:eastAsia="Times New Roman" w:hAnsi="Times New Roman"/>
          <w:sz w:val="18"/>
          <w:szCs w:val="18"/>
          <w:color w:val="auto"/>
        </w:rPr>
      </w:pPr>
    </w:p>
    <w:p>
      <w:pPr>
        <w:ind w:right="1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as of March 31, 2026 was $33.0 million. In May 2024, a voluntary interest payment of $9.6 million was made, and the maturity of each 4.6% Senior Note was extended by two years to May 27, 2026, including the remaining outstanding principal amount under the 4.60% Senior Notes.</w:t>
      </w:r>
    </w:p>
    <w:p>
      <w:pPr>
        <w:spacing w:after="0" w:line="31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Retirement benefit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 Defined benefit pension plan</w:t>
      </w:r>
    </w:p>
    <w:p>
      <w:pPr>
        <w:spacing w:after="0" w:line="40"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8"/>
          <w:szCs w:val="18"/>
          <w:color w:val="auto"/>
        </w:rPr>
        <w:t>We operate a defined benefit pension plan under employment regulations in Korea. The plan services the employees located in Seoul and is a final wage-based pension plan, which provides a specified amount of pension benefit based on length of service. The service cost components of the net periodic benefit costs are charged to current operations based on the employee’s functional area.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 Details of defined benefit liabilities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defined benefit liabilities (defined benefit assets)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6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defined benefit obligations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2,189</w:t>
            </w:r>
          </w:p>
        </w:tc>
      </w:tr>
      <w:tr>
        <w:trPr>
          <w:trHeight w:val="243"/>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36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(2,440)</w:t>
            </w:r>
          </w:p>
        </w:tc>
      </w:tr>
      <w:tr>
        <w:trPr>
          <w:trHeight w:val="27"/>
        </w:trPr>
        <w:tc>
          <w:tcPr>
            <w:tcW w:w="6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defined benefit liabilities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6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48"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auto"/>
        </w:rPr>
        <w:t>The income tax expense for the interim period has been recognized based on management’s best estimate of the weighted average annual effective tax rate expected for the full fiscal year ending December 31, 2026. Separately, management estimates that the weighted average annual effective tax rate for the three months ended March 31, 2026 will be 20.4%, compared to 27.0% for the three months ended March 31, 2025.</w:t>
      </w:r>
    </w:p>
    <w:p>
      <w:pPr>
        <w:spacing w:after="0" w:line="1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40" w:lineRule="exact"/>
        <w:rPr>
          <w:sz w:val="20"/>
          <w:szCs w:val="20"/>
          <w:color w:val="auto"/>
        </w:rPr>
      </w:pPr>
    </w:p>
    <w:p>
      <w:pPr>
        <w:ind w:right="340"/>
        <w:spacing w:after="0" w:line="329" w:lineRule="auto"/>
        <w:rPr>
          <w:sz w:val="20"/>
          <w:szCs w:val="20"/>
          <w:color w:val="auto"/>
        </w:rPr>
      </w:pPr>
      <w:r>
        <w:rPr>
          <w:rFonts w:ascii="Times New Roman" w:cs="Times New Roman" w:eastAsia="Times New Roman" w:hAnsi="Times New Roman"/>
          <w:sz w:val="18"/>
          <w:szCs w:val="18"/>
          <w:color w:val="auto"/>
        </w:rPr>
        <w:t>We have 200,000,000 total authorized shares with 2,477,672 common shares issued and outstanding at March 31, 2026 and 2025, and the par value per share is KRW10,000.</w:t>
      </w:r>
    </w:p>
    <w:p>
      <w:pPr>
        <w:sectPr>
          <w:pgSz w:w="11900" w:h="16838" w:orient="portrait"/>
          <w:cols w:equalWidth="0" w:num="1">
            <w:col w:w="11240"/>
          </w:cols>
          <w:pgMar w:left="320" w:top="1201" w:right="3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9.1. Changes in share capital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common shares, share capital and premium (in thousands, except shares):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Common shares</w:t>
            </w:r>
          </w:p>
        </w:tc>
        <w:tc>
          <w:tcPr>
            <w:tcW w:w="360" w:type="dxa"/>
            <w:vAlign w:val="bottom"/>
          </w:tcPr>
          <w:p>
            <w:pPr>
              <w:spacing w:after="0"/>
              <w:rPr>
                <w:sz w:val="20"/>
                <w:szCs w:val="20"/>
                <w:color w:val="auto"/>
              </w:rPr>
            </w:pP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Share capital</w:t>
            </w:r>
          </w:p>
        </w:tc>
        <w:tc>
          <w:tcPr>
            <w:tcW w:w="320" w:type="dxa"/>
            <w:vAlign w:val="bottom"/>
          </w:tcPr>
          <w:p>
            <w:pPr>
              <w:spacing w:after="0"/>
              <w:rPr>
                <w:sz w:val="20"/>
                <w:szCs w:val="20"/>
                <w:color w:val="auto"/>
              </w:rPr>
            </w:pPr>
          </w:p>
        </w:tc>
        <w:tc>
          <w:tcPr>
            <w:tcW w:w="1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Share premium</w:t>
            </w:r>
          </w:p>
        </w:tc>
        <w:tc>
          <w:tcPr>
            <w:tcW w:w="50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35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2,477,672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380,478</w:t>
            </w:r>
          </w:p>
        </w:tc>
      </w:tr>
      <w:tr>
        <w:trPr>
          <w:trHeight w:val="243"/>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2,477,672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380,478</w:t>
            </w:r>
          </w:p>
        </w:tc>
      </w:tr>
      <w:tr>
        <w:trPr>
          <w:trHeight w:val="27"/>
        </w:trPr>
        <w:tc>
          <w:tcPr>
            <w:tcW w:w="35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2,477,672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380,478</w:t>
            </w:r>
          </w:p>
        </w:tc>
      </w:tr>
      <w:tr>
        <w:trPr>
          <w:trHeight w:val="243"/>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2,477,672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359,280</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380,478</w:t>
            </w: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 from contract with customers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 Disaggregation of revenue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distinguishes between revenue recognized over time and revenue recognized at a point in time.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revenue by service contract type, geographic market, and the timing of performance obligation satisfaction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4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Pr>
          <w:p>
            <w:pPr>
              <w:spacing w:after="0"/>
              <w:rPr>
                <w:sz w:val="20"/>
                <w:szCs w:val="20"/>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Pr>
          <w:p>
            <w:pPr>
              <w:spacing w:after="0"/>
              <w:rPr>
                <w:sz w:val="20"/>
                <w:szCs w:val="20"/>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360" w:type="dxa"/>
            <w:vAlign w:val="bottom"/>
            <w:shd w:val="clear" w:color="auto" w:fill="CCEEFF"/>
          </w:tcPr>
          <w:p>
            <w:pPr>
              <w:ind w:left="100"/>
              <w:spacing w:after="0" w:line="250" w:lineRule="exact"/>
              <w:rPr>
                <w:sz w:val="20"/>
                <w:szCs w:val="20"/>
                <w:color w:val="auto"/>
              </w:rPr>
            </w:pPr>
            <w:r>
              <w:rPr>
                <w:rFonts w:ascii="Times New Roman" w:cs="Times New Roman" w:eastAsia="Times New Roman" w:hAnsi="Times New Roman"/>
                <w:sz w:val="18"/>
                <w:szCs w:val="18"/>
                <w:color w:val="auto"/>
              </w:rPr>
              <w:t xml:space="preserve">Type of service </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6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Social casino game</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76,946</w:t>
            </w:r>
          </w:p>
        </w:tc>
        <w:tc>
          <w:tcPr>
            <w:tcW w:w="168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70,281</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Geographic market </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1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57,468</w:t>
            </w:r>
          </w:p>
        </w:tc>
        <w:tc>
          <w:tcPr>
            <w:tcW w:w="1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61,014</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International</w:t>
            </w: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1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76,946</w:t>
            </w:r>
          </w:p>
        </w:tc>
        <w:tc>
          <w:tcPr>
            <w:tcW w:w="168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70,281</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Timing of revenue recognition </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Over time</w:t>
            </w:r>
          </w:p>
        </w:tc>
        <w:tc>
          <w:tcPr>
            <w:tcW w:w="1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76,805</w:t>
            </w:r>
          </w:p>
        </w:tc>
        <w:tc>
          <w:tcPr>
            <w:tcW w:w="1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70,203</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At a point in time</w:t>
            </w: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5"/>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76,946</w:t>
            </w:r>
          </w:p>
        </w:tc>
        <w:tc>
          <w:tcPr>
            <w:tcW w:w="168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70,281</w:t>
            </w:r>
          </w:p>
        </w:tc>
      </w:tr>
    </w:tbl>
    <w:p>
      <w:pPr>
        <w:spacing w:after="0" w:line="34" w:lineRule="exact"/>
        <w:rPr>
          <w:sz w:val="20"/>
          <w:szCs w:val="20"/>
          <w:color w:val="auto"/>
        </w:rPr>
      </w:pPr>
    </w:p>
    <w:p>
      <w:pPr>
        <w:ind w:left="300" w:right="400" w:hanging="250"/>
        <w:spacing w:after="0" w:line="313" w:lineRule="auto"/>
        <w:tabs>
          <w:tab w:leader="none" w:pos="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iGaming revenues are excluded and amounted to $17,176 thousand for the three months ended March 31, 2026 and $13,211 thousand for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between Third-Party Platforms and Direct-to-Consumers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4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Pr>
          <w:p>
            <w:pPr>
              <w:spacing w:after="0"/>
              <w:rPr>
                <w:sz w:val="20"/>
                <w:szCs w:val="20"/>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Pr>
          <w:p>
            <w:pPr>
              <w:spacing w:after="0"/>
              <w:rPr>
                <w:sz w:val="20"/>
                <w:szCs w:val="20"/>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Third-Party Platforms</w:t>
            </w:r>
          </w:p>
        </w:tc>
        <w:tc>
          <w:tcPr>
            <w:tcW w:w="164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168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61,284</w:t>
            </w:r>
          </w:p>
        </w:tc>
      </w:tr>
      <w:tr>
        <w:trPr>
          <w:trHeight w:val="270"/>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Direct-to-Consumers </w:t>
            </w:r>
            <w:r>
              <w:rPr>
                <w:rFonts w:ascii="Times New Roman" w:cs="Times New Roman" w:eastAsia="Times New Roman" w:hAnsi="Times New Roman"/>
                <w:sz w:val="23"/>
                <w:szCs w:val="23"/>
                <w:color w:val="auto"/>
                <w:vertAlign w:val="superscript"/>
              </w:rPr>
              <w:t>(1)</w:t>
            </w:r>
          </w:p>
        </w:tc>
        <w:tc>
          <w:tcPr>
            <w:tcW w:w="16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33,978</w:t>
            </w:r>
          </w:p>
        </w:tc>
        <w:tc>
          <w:tcPr>
            <w:tcW w:w="16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8,997</w:t>
            </w:r>
          </w:p>
        </w:tc>
      </w:tr>
      <w:tr>
        <w:trPr>
          <w:trHeight w:val="270"/>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76,946</w:t>
            </w:r>
          </w:p>
        </w:tc>
        <w:tc>
          <w:tcPr>
            <w:tcW w:w="168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70,281</w:t>
            </w:r>
          </w:p>
        </w:tc>
      </w:tr>
    </w:tbl>
    <w:p>
      <w:pPr>
        <w:spacing w:after="0" w:line="63" w:lineRule="exact"/>
        <w:rPr>
          <w:sz w:val="20"/>
          <w:szCs w:val="20"/>
          <w:color w:val="auto"/>
        </w:rPr>
      </w:pPr>
    </w:p>
    <w:p>
      <w:pPr>
        <w:ind w:left="300" w:hanging="250"/>
        <w:spacing w:after="0" w:line="261" w:lineRule="auto"/>
        <w:tabs>
          <w:tab w:leader="none" w:pos="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(“DTC”) revenue represents revenue from purchases made through Company-owned channels, including web storefront transactions and other direct payment flows.</w:t>
      </w:r>
    </w:p>
    <w:p>
      <w:pPr>
        <w:ind w:left="300" w:right="20" w:hanging="250"/>
        <w:spacing w:after="0" w:line="323" w:lineRule="auto"/>
        <w:tabs>
          <w:tab w:leader="none" w:pos="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iGaming revenues are excluded and amounted to $17,176 thousand for the three months ended March 31, 2026 and $13,211 thousand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10.2 Contract assets, contract liabilities with customers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opening and closing balances in contract assets and contract liabilities (in thousands):</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3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63"/>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23"/>
                <w:szCs w:val="23"/>
                <w:color w:val="auto"/>
                <w:vertAlign w:val="superscript"/>
              </w:rPr>
              <w:t>(1)</w:t>
            </w:r>
          </w:p>
        </w:tc>
        <w:tc>
          <w:tcPr>
            <w:tcW w:w="1880" w:type="dxa"/>
            <w:vAlign w:val="bottom"/>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312"/>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23"/>
                <w:szCs w:val="23"/>
                <w:color w:val="auto"/>
                <w:vertAlign w:val="superscript"/>
              </w:rPr>
              <w:t>(2)</w:t>
            </w:r>
          </w:p>
        </w:tc>
        <w:tc>
          <w:tcPr>
            <w:tcW w:w="18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3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r>
    </w:tbl>
    <w:p>
      <w:pPr>
        <w:spacing w:after="0" w:line="48" w:lineRule="exact"/>
        <w:rPr>
          <w:sz w:val="20"/>
          <w:szCs w:val="20"/>
          <w:color w:val="auto"/>
        </w:rPr>
      </w:pPr>
    </w:p>
    <w:p>
      <w:pPr>
        <w:ind w:left="280" w:hanging="230"/>
        <w:spacing w:after="0"/>
        <w:tabs>
          <w:tab w:leader="none" w:pos="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are included within prepaid expenses and other assets in our consolidated interim financial position.</w:t>
      </w:r>
    </w:p>
    <w:p>
      <w:pPr>
        <w:spacing w:after="0" w:line="27" w:lineRule="exact"/>
        <w:rPr>
          <w:rFonts w:ascii="Times New Roman" w:cs="Times New Roman" w:eastAsia="Times New Roman" w:hAnsi="Times New Roman"/>
          <w:sz w:val="18"/>
          <w:szCs w:val="18"/>
          <w:color w:val="auto"/>
        </w:rPr>
      </w:pPr>
    </w:p>
    <w:p>
      <w:pPr>
        <w:ind w:left="300" w:right="580" w:hanging="250"/>
        <w:spacing w:after="0" w:line="276" w:lineRule="auto"/>
        <w:tabs>
          <w:tab w:leader="none" w:pos="29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recognized during the current year from the contract liabilities balance at the beginning of the reporting period is $1,861 thousand for the three months ended March 31, 2026 and $1,754 thousand for the three months ended March 31, 2025.</w:t>
      </w:r>
    </w:p>
    <w:p>
      <w:pPr>
        <w:spacing w:after="0" w:line="3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Classification of operating expenses by nature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classification of expenses by nature for the three months ended March 31, 2026 and 2025 are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4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Pr>
          <w:p>
            <w:pPr>
              <w:spacing w:after="0"/>
              <w:rPr>
                <w:sz w:val="20"/>
                <w:szCs w:val="20"/>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Pr>
          <w:p>
            <w:pPr>
              <w:spacing w:after="0"/>
              <w:rPr>
                <w:sz w:val="20"/>
                <w:szCs w:val="20"/>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Personnel expenses</w:t>
            </w:r>
          </w:p>
        </w:tc>
        <w:tc>
          <w:tcPr>
            <w:tcW w:w="164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68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 and dues</w:t>
            </w:r>
          </w:p>
        </w:tc>
        <w:tc>
          <w:tcPr>
            <w:tcW w:w="1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Fees and commissions</w:t>
            </w: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28,471</w:t>
            </w:r>
          </w:p>
        </w:tc>
        <w:tc>
          <w:tcPr>
            <w:tcW w:w="1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Advertising expenses</w:t>
            </w:r>
          </w:p>
        </w:tc>
        <w:tc>
          <w:tcPr>
            <w:tcW w:w="1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1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312"/>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58,608</w:t>
            </w:r>
          </w:p>
        </w:tc>
        <w:tc>
          <w:tcPr>
            <w:tcW w:w="168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53,852</w:t>
            </w:r>
          </w:p>
        </w:tc>
      </w:tr>
    </w:tbl>
    <w:p>
      <w:pPr>
        <w:spacing w:after="0" w:line="48" w:lineRule="exact"/>
        <w:rPr>
          <w:sz w:val="20"/>
          <w:szCs w:val="20"/>
          <w:color w:val="auto"/>
        </w:rPr>
      </w:pPr>
    </w:p>
    <w:p>
      <w:pPr>
        <w:ind w:left="260" w:right="460" w:hanging="252"/>
        <w:spacing w:after="0" w:line="313" w:lineRule="auto"/>
        <w:tabs>
          <w:tab w:leader="none" w:pos="2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cost of revenue, sales and marketing, research and development, and general and administrative expenses as included in the consolidated interim statement of comprehensive income.</w:t>
      </w:r>
    </w:p>
    <w:p>
      <w:pPr>
        <w:spacing w:after="0" w:line="3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58" w:lineRule="exact"/>
        <w:rPr>
          <w:sz w:val="20"/>
          <w:szCs w:val="20"/>
          <w:color w:val="auto"/>
        </w:rPr>
      </w:pPr>
    </w:p>
    <w:p>
      <w:pPr>
        <w:jc w:val="both"/>
        <w:ind w:left="500" w:right="180" w:hanging="485"/>
        <w:spacing w:after="0" w:line="305"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8"/>
          <w:szCs w:val="18"/>
          <w:color w:val="auto"/>
        </w:rPr>
        <w:t>Basic earnings per share is computed by dividing earning by the weighted-average number of common shares outstanding for the period, without consideration for potentially dilutive securities. The following table presents the calculation of basic earnings per share (in thousands, except share and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9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2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8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Pr>
          <w:p>
            <w:pPr>
              <w:spacing w:after="0"/>
              <w:rPr>
                <w:sz w:val="20"/>
                <w:szCs w:val="20"/>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Numerator:</w:t>
            </w:r>
          </w:p>
        </w:tc>
        <w:tc>
          <w:tcPr>
            <w:tcW w:w="1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Profit applicable to DoubleDown Interactive Co., Ltd.</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156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w:t>
            </w:r>
          </w:p>
        </w:tc>
      </w:tr>
      <w:tr>
        <w:trPr>
          <w:trHeight w:val="27"/>
        </w:trPr>
        <w:tc>
          <w:tcPr>
            <w:tcW w:w="6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2,477,672</w:t>
            </w:r>
          </w:p>
        </w:tc>
        <w:tc>
          <w:tcPr>
            <w:tcW w:w="1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2,477,672</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56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bl>
    <w:p>
      <w:pPr>
        <w:spacing w:after="0" w:line="288" w:lineRule="exact"/>
        <w:rPr>
          <w:sz w:val="20"/>
          <w:szCs w:val="20"/>
          <w:color w:val="auto"/>
        </w:rPr>
      </w:pPr>
    </w:p>
    <w:p>
      <w:pPr>
        <w:jc w:val="center"/>
        <w:ind w:right="6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color w:val="auto"/>
        </w:rPr>
        <w:t>Diluted earnings per share is computed by dividing profit applicable to owners of the Company by the weighted-average number of common shares</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and dilutive common share equivalents outstanding for the period. The Company does not have dilutive potential ordinary shares outstanding.</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Accordingly, the diluted earnings per share for the three months ended March 31, 2026 and 2025 are the same as the basic earnings per share.</w:t>
      </w:r>
    </w:p>
    <w:p>
      <w:pPr>
        <w:spacing w:after="0" w:line="397"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Publishing and license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DoubleU Games</w:t>
      </w:r>
    </w:p>
    <w:p>
      <w:pPr>
        <w:spacing w:after="0" w:line="241"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8"/>
          <w:szCs w:val="18"/>
          <w:color w:val="auto"/>
        </w:rPr>
        <w:t>We entered into the DoubleU Games License Agreement on March 7, 2018 with DoubleU Games through DDI-US, pursuant to which DoubleU Games grants us, an exclusive license to develop and distribute certain DoubleU Games social</w:t>
      </w:r>
    </w:p>
    <w:p>
      <w:pPr>
        <w:sectPr>
          <w:pgSz w:w="11900" w:h="16838" w:orient="portrait"/>
          <w:cols w:equalWidth="0" w:num="1">
            <w:col w:w="11240"/>
          </w:cols>
          <w:pgMar w:left="320" w:top="1197"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25" w:name="page26"/>
    <w:bookmarkEnd w:id="25"/>
    <w:p>
      <w:pPr>
        <w:jc w:val="both"/>
        <w:spacing w:after="0" w:line="305" w:lineRule="auto"/>
        <w:rPr>
          <w:sz w:val="20"/>
          <w:szCs w:val="20"/>
          <w:color w:val="auto"/>
        </w:rPr>
      </w:pPr>
      <w:r>
        <w:rPr>
          <w:rFonts w:ascii="Times New Roman" w:cs="Times New Roman" w:eastAsia="Times New Roman" w:hAnsi="Times New Roman"/>
          <w:sz w:val="18"/>
          <w:szCs w:val="18"/>
          <w:color w:val="auto"/>
        </w:rPr>
        <w:t>casino game titles and sequels thereto in the social online game field of use. We are obligated to pay a royalty license fee to DoubleU Games in connection with these rights, with certain customary terms and conditions. As of March 31, 2026, we licensed from DUG approximately 77 game titles under the terms of this agreement.</w:t>
      </w:r>
    </w:p>
    <w:p>
      <w:pPr>
        <w:spacing w:after="0" w:line="183"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In October 2023, we, through DDI-US, entered into a Game Development Services Agreement with DoubleU Games pursuant to which DDI-US will pay service fees to DoubleU Games for certain game maintenance services and product planning and user analysis services provided by DoubleU Games.</w:t>
      </w:r>
    </w:p>
    <w:p>
      <w:pPr>
        <w:spacing w:after="0" w:line="176"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8"/>
          <w:szCs w:val="18"/>
          <w:color w:val="auto"/>
        </w:rPr>
        <w:t>In October 2024, we, through DDI-US, entered into a Game Development Agreement with DoubleU Games, pursuant to which DoubleU Games would develop certain social casino game software and titles for us in exchange for development fees.</w:t>
      </w:r>
    </w:p>
    <w:p>
      <w:pPr>
        <w:spacing w:after="0" w:line="176"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8"/>
          <w:szCs w:val="18"/>
          <w:color w:val="auto"/>
        </w:rPr>
        <w:t>We, through SuprPlay Limited, also entered into a new game license agreement with DoubleU Games with effect from August 20, 2024. We are obligated to pay a royalty license fee to DoubleU Games in connection with these rights, with certain customary terms and conditions.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Gaming Technologies (“IGT”)</w:t>
      </w:r>
    </w:p>
    <w:p>
      <w:pPr>
        <w:spacing w:after="0" w:line="24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In 2017, we entered into a Game Development, Distribution, and Services Agreement with IGT. Under the terms of the agreement, IGT will deliver game assets so that we can port (a process of converting the assets into functioning slot games by platform) the technology for inclusion in our gaming apps. The agreement includes game assets that are used to create new games. Under the agreement, we paid IGT an initial royalty rate of 10% of revenue for their proprietary assets and 15% of revenue for third-party game asset types. Effective January 1, 2019, we amended the agreement to revise the royalty rate for proprietary game asset types to 7.5% of revenue. The initial term of the agreement is ten (10) years with up to two additional five-year periods. Costs incurred in connection with this agreement for the three months ended March 31, 2026 and 2025 totaled $0.8 million and $0.8 million, respectively, and are recognized as a component of cost of revenue.</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13.2.</w:t>
        <w:tab/>
        <w:t>Legal contingencies</w:t>
      </w:r>
    </w:p>
    <w:p>
      <w:pPr>
        <w:spacing w:after="0" w:line="27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As of the date of this report, in the United States, the Company has several pending lawsuits and arbitrations alleging that its social casino-themed games constitute illegal gambling under applicable state laws and seeking to recover amounts paid by the residents of the applicable state in connection with such games. The Company denies the allegations, and contends that its games are not gambling under the applicable law and that the cases suffer from various procedural defects. At this time, the Company is unable to reasonably predict the outcome of these legal proceedings and cannot estimate what impact, if any, the litigation may have on the Company’s condensed consolidated interim financial statements.</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Directors and Officers’ indemnification agreement</w:t>
      </w:r>
    </w:p>
    <w:p>
      <w:pPr>
        <w:spacing w:after="0" w:line="256" w:lineRule="exact"/>
        <w:rPr>
          <w:sz w:val="20"/>
          <w:szCs w:val="20"/>
          <w:color w:val="auto"/>
        </w:rPr>
      </w:pPr>
    </w:p>
    <w:p>
      <w:pPr>
        <w:ind w:right="700"/>
        <w:spacing w:after="0" w:line="329" w:lineRule="auto"/>
        <w:rPr>
          <w:sz w:val="20"/>
          <w:szCs w:val="20"/>
          <w:color w:val="auto"/>
        </w:rPr>
      </w:pPr>
      <w:r>
        <w:rPr>
          <w:rFonts w:ascii="Times New Roman" w:cs="Times New Roman" w:eastAsia="Times New Roman" w:hAnsi="Times New Roman"/>
          <w:sz w:val="18"/>
          <w:szCs w:val="18"/>
          <w:color w:val="auto"/>
        </w:rPr>
        <w:t>The Company’s maximum aggregate liability for all loss and expenses on account of any and all requests for indemnity under the Indemnification Agreement or any similar indemnity agreement with any other indemnitee will be $5,000,000 per every 12-month period.</w:t>
      </w:r>
    </w:p>
    <w:p>
      <w:pPr>
        <w:spacing w:after="0" w:line="11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13.4.</w:t>
        <w:tab/>
        <w:t>Other matters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IGT Letter</w:t>
      </w:r>
    </w:p>
    <w:p>
      <w:pPr>
        <w:spacing w:after="0" w:line="268"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auto"/>
        </w:rPr>
        <w:t>In March 2025, DDI-US received a letter from IGT (“IGT Letter”) purporting to terminate the Company’s licenses to develop and distribute IGT social casino game titles throughout the United States. The IGT Letter cited the January 2025 public memo issued by the Washington State Gambling Commission (“WSGC”), where the WSGC encouraged companies offering virtual casino-style games to Washington residents to review their games and ensure compliance with state gambling regulations. The Company responded to the IGT Letter in April 2025, disputing the termination, and has not received any subsequent response from IGT to date. While the outcome of this matter is currently uncertain, the Company</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6" w:name="page27"/>
    <w:bookmarkEnd w:id="26"/>
    <w:p>
      <w:pPr>
        <w:ind w:right="80"/>
        <w:spacing w:after="0" w:line="329" w:lineRule="auto"/>
        <w:rPr>
          <w:sz w:val="20"/>
          <w:szCs w:val="20"/>
          <w:color w:val="auto"/>
        </w:rPr>
      </w:pPr>
      <w:r>
        <w:rPr>
          <w:rFonts w:ascii="Times New Roman" w:cs="Times New Roman" w:eastAsia="Times New Roman" w:hAnsi="Times New Roman"/>
          <w:sz w:val="18"/>
          <w:szCs w:val="18"/>
          <w:color w:val="auto"/>
        </w:rPr>
        <w:t>believes that IGT has no basis to terminate the licenses and that the Company’s distribution of the licensed games is not prohibited under Washington State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SuprNation Performance Based Compensation</w:t>
      </w:r>
    </w:p>
    <w:p>
      <w:pPr>
        <w:spacing w:after="0" w:line="26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Contemporaneously with entering into the definitive agreement, the Company also adopted an eighteen-month performance-based incentive plan for certain key employees of SuprNation, under which the key employees may earn up to a total of $6.5 million in addition to $5.5 million held in escrow, which vest over the eighteen-month period. The performance-based incentive plan is contingent upon the achievement of certain revenue and other performance targets by the acquired business and the continued employment of such key employees between 2023 and 2025. Such plan became effective at the closing of the transaction. In August 2024, $4.2 million of the incentive plan was modified to be contingent solely upon continued employment. All of the compensation under the plan has been paid as of March 2026.</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14.1.</w:t>
        <w:tab/>
        <w:t>Related party</w:t>
      </w:r>
    </w:p>
    <w:p>
      <w:pPr>
        <w:spacing w:after="0" w:line="40" w:lineRule="exact"/>
        <w:rPr>
          <w:sz w:val="20"/>
          <w:szCs w:val="20"/>
          <w:color w:val="auto"/>
        </w:rPr>
      </w:pPr>
    </w:p>
    <w:p>
      <w:pPr>
        <w:ind w:right="320"/>
        <w:spacing w:after="0" w:line="305" w:lineRule="auto"/>
        <w:rPr>
          <w:sz w:val="20"/>
          <w:szCs w:val="20"/>
          <w:color w:val="auto"/>
        </w:rPr>
      </w:pPr>
      <w:r>
        <w:rPr>
          <w:rFonts w:ascii="Times New Roman" w:cs="Times New Roman" w:eastAsia="Times New Roman" w:hAnsi="Times New Roman"/>
          <w:sz w:val="18"/>
          <w:szCs w:val="18"/>
          <w:color w:val="auto"/>
        </w:rPr>
        <w:t>Our related party transactions comprise of expenses for use of intellectual property, borrowings, and sublease. We may also incur other expenses with related parties in the ordinary course of business, which are included in the condensed consolidated interim financial statements. We have the following related parties during the three months ended March 31, 2026 and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Relationship</w:t>
            </w:r>
          </w:p>
        </w:tc>
        <w:tc>
          <w:tcPr>
            <w:tcW w:w="1840" w:type="dxa"/>
            <w:vAlign w:val="bottom"/>
          </w:tcPr>
          <w:p>
            <w:pPr>
              <w:spacing w:after="0"/>
              <w:rPr>
                <w:sz w:val="20"/>
                <w:szCs w:val="20"/>
                <w:color w:val="auto"/>
              </w:rPr>
            </w:pPr>
          </w:p>
        </w:tc>
        <w:tc>
          <w:tcPr>
            <w:tcW w:w="22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Company name</w:t>
            </w:r>
          </w:p>
        </w:tc>
        <w:tc>
          <w:tcPr>
            <w:tcW w:w="800" w:type="dxa"/>
            <w:vAlign w:val="bottom"/>
          </w:tcPr>
          <w:p>
            <w:pPr>
              <w:spacing w:after="0"/>
              <w:rPr>
                <w:sz w:val="20"/>
                <w:szCs w:val="20"/>
                <w:color w:val="auto"/>
              </w:rPr>
            </w:pPr>
          </w:p>
        </w:tc>
      </w:tr>
      <w:tr>
        <w:trPr>
          <w:trHeight w:val="27"/>
        </w:trPr>
        <w:tc>
          <w:tcPr>
            <w:tcW w:w="6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800"/>
              <w:spacing w:after="0"/>
              <w:rPr>
                <w:sz w:val="20"/>
                <w:szCs w:val="20"/>
                <w:color w:val="auto"/>
              </w:rPr>
            </w:pPr>
            <w:r>
              <w:rPr>
                <w:rFonts w:ascii="Times New Roman" w:cs="Times New Roman" w:eastAsia="Times New Roman" w:hAnsi="Times New Roman"/>
                <w:sz w:val="18"/>
                <w:szCs w:val="18"/>
                <w:color w:val="auto"/>
              </w:rPr>
              <w:t>Controlling shareholder</w:t>
            </w:r>
          </w:p>
        </w:tc>
        <w:tc>
          <w:tcPr>
            <w:tcW w:w="18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DoubleU Games Co., Ltd</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500"/>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14.2.  Transactions with related party</w:t>
            </w: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expenses charged by DoubleU Games (in thousands):</w:t>
            </w:r>
          </w:p>
        </w:tc>
        <w:tc>
          <w:tcPr>
            <w:tcW w:w="1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73"/>
        </w:trPr>
        <w:tc>
          <w:tcPr>
            <w:tcW w:w="6360" w:type="dxa"/>
            <w:vAlign w:val="bottom"/>
          </w:tcPr>
          <w:p>
            <w:pPr>
              <w:spacing w:after="0"/>
              <w:rPr>
                <w:sz w:val="24"/>
                <w:szCs w:val="24"/>
                <w:color w:val="auto"/>
              </w:rPr>
            </w:pPr>
          </w:p>
        </w:tc>
        <w:tc>
          <w:tcPr>
            <w:tcW w:w="4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24"/>
                <w:szCs w:val="24"/>
                <w:color w:val="auto"/>
              </w:rPr>
            </w:pPr>
          </w:p>
        </w:tc>
      </w:tr>
      <w:tr>
        <w:trPr>
          <w:trHeight w:val="27"/>
        </w:trPr>
        <w:tc>
          <w:tcPr>
            <w:tcW w:w="63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60" w:type="dxa"/>
            <w:vAlign w:val="bottom"/>
          </w:tcPr>
          <w:p>
            <w:pPr>
              <w:spacing w:after="0"/>
              <w:rPr>
                <w:sz w:val="20"/>
                <w:szCs w:val="20"/>
                <w:color w:val="auto"/>
              </w:rPr>
            </w:pPr>
          </w:p>
        </w:tc>
        <w:tc>
          <w:tcPr>
            <w:tcW w:w="16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0" w:type="dxa"/>
            <w:vAlign w:val="bottom"/>
          </w:tcPr>
          <w:p>
            <w:pPr>
              <w:spacing w:after="0"/>
              <w:rPr>
                <w:sz w:val="20"/>
                <w:szCs w:val="20"/>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Royalty expense</w:t>
            </w:r>
          </w:p>
        </w:tc>
        <w:tc>
          <w:tcPr>
            <w:tcW w:w="1840" w:type="dxa"/>
            <w:vAlign w:val="bottom"/>
            <w:tcBorders>
              <w:bottom w:val="single" w:sz="8" w:color="CCEEFF"/>
            </w:tcBorders>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8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w:t>
            </w:r>
          </w:p>
        </w:tc>
        <w:tc>
          <w:tcPr>
            <w:tcW w:w="1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6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1,793</w:t>
            </w:r>
          </w:p>
        </w:tc>
      </w:tr>
      <w:tr>
        <w:trPr>
          <w:trHeight w:val="526"/>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14.3  Account balances with related party</w:t>
            </w: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DoubleU Games are as follows (in thousands):</w:t>
            </w:r>
          </w:p>
        </w:tc>
        <w:tc>
          <w:tcPr>
            <w:tcW w:w="1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513"/>
        </w:trPr>
        <w:tc>
          <w:tcPr>
            <w:tcW w:w="6360" w:type="dxa"/>
            <w:vAlign w:val="bottom"/>
          </w:tcPr>
          <w:p>
            <w:pPr>
              <w:spacing w:after="0"/>
              <w:rPr>
                <w:sz w:val="24"/>
                <w:szCs w:val="24"/>
                <w:color w:val="auto"/>
              </w:rPr>
            </w:pP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60" w:type="dxa"/>
            <w:vAlign w:val="bottom"/>
          </w:tcPr>
          <w:p>
            <w:pPr>
              <w:spacing w:after="0"/>
              <w:rPr>
                <w:sz w:val="24"/>
                <w:szCs w:val="24"/>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7"/>
        </w:trPr>
        <w:tc>
          <w:tcPr>
            <w:tcW w:w="63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40" w:type="dxa"/>
            <w:vAlign w:val="bottom"/>
            <w:tcBorders>
              <w:bottom w:val="single" w:sz="8" w:color="CCEEFF"/>
            </w:tcBorders>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68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1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702"/>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14.4.  Borrowing transactions with related party</w:t>
            </w: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our borrowing transactions with DoubleU Games are as follows (in thousands):</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72"/>
        </w:trPr>
        <w:tc>
          <w:tcPr>
            <w:tcW w:w="6360" w:type="dxa"/>
            <w:vAlign w:val="bottom"/>
          </w:tcPr>
          <w:p>
            <w:pPr>
              <w:spacing w:after="0"/>
              <w:rPr>
                <w:sz w:val="24"/>
                <w:szCs w:val="24"/>
                <w:color w:val="auto"/>
              </w:rPr>
            </w:pP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60" w:type="dxa"/>
            <w:vAlign w:val="bottom"/>
          </w:tcPr>
          <w:p>
            <w:pPr>
              <w:spacing w:after="0"/>
              <w:rPr>
                <w:sz w:val="24"/>
                <w:szCs w:val="24"/>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7"/>
        </w:trPr>
        <w:tc>
          <w:tcPr>
            <w:tcW w:w="63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4.6% Senior notes with related party</w:t>
            </w:r>
          </w:p>
        </w:tc>
        <w:tc>
          <w:tcPr>
            <w:tcW w:w="1840" w:type="dxa"/>
            <w:vAlign w:val="bottom"/>
            <w:tcBorders>
              <w:bottom w:val="single" w:sz="8" w:color="CCEEFF"/>
            </w:tcBorders>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33,038</w:t>
            </w:r>
          </w:p>
        </w:tc>
        <w:tc>
          <w:tcPr>
            <w:tcW w:w="168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34,846</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interest on 4.6% Senior Notes with related party</w:t>
            </w:r>
          </w:p>
        </w:tc>
        <w:tc>
          <w:tcPr>
            <w:tcW w:w="1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r>
      <w:tr>
        <w:trPr>
          <w:trHeight w:val="634"/>
        </w:trPr>
        <w:tc>
          <w:tcPr>
            <w:tcW w:w="6360" w:type="dxa"/>
            <w:vAlign w:val="bottom"/>
          </w:tcPr>
          <w:p>
            <w:pPr>
              <w:spacing w:after="0"/>
              <w:rPr>
                <w:sz w:val="24"/>
                <w:szCs w:val="24"/>
                <w:color w:val="auto"/>
              </w:rPr>
            </w:pPr>
          </w:p>
        </w:tc>
        <w:tc>
          <w:tcPr>
            <w:tcW w:w="4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24"/>
                <w:szCs w:val="24"/>
                <w:color w:val="auto"/>
              </w:rPr>
            </w:pPr>
          </w:p>
        </w:tc>
      </w:tr>
      <w:tr>
        <w:trPr>
          <w:trHeight w:val="27"/>
        </w:trPr>
        <w:tc>
          <w:tcPr>
            <w:tcW w:w="63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6360" w:type="dxa"/>
            <w:vAlign w:val="bottom"/>
          </w:tcPr>
          <w:p>
            <w:pPr>
              <w:spacing w:after="0"/>
              <w:rPr>
                <w:sz w:val="20"/>
                <w:szCs w:val="20"/>
                <w:color w:val="auto"/>
              </w:rPr>
            </w:pPr>
          </w:p>
        </w:tc>
        <w:tc>
          <w:tcPr>
            <w:tcW w:w="18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60" w:type="dxa"/>
            <w:vAlign w:val="bottom"/>
          </w:tcPr>
          <w:p>
            <w:pPr>
              <w:spacing w:after="0"/>
              <w:rPr>
                <w:sz w:val="20"/>
                <w:szCs w:val="20"/>
                <w:color w:val="auto"/>
              </w:rPr>
            </w:pPr>
          </w:p>
        </w:tc>
        <w:tc>
          <w:tcPr>
            <w:tcW w:w="16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0" w:type="dxa"/>
            <w:vAlign w:val="bottom"/>
          </w:tcPr>
          <w:p>
            <w:pPr>
              <w:spacing w:after="0"/>
              <w:rPr>
                <w:sz w:val="20"/>
                <w:szCs w:val="20"/>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84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8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r>
      <w:tr>
        <w:trPr>
          <w:trHeight w:val="27"/>
        </w:trPr>
        <w:tc>
          <w:tcPr>
            <w:tcW w:w="63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61"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27" w:name="page28"/>
    <w:bookmarkEnd w:id="27"/>
    <w:p>
      <w:pPr>
        <w:spacing w:after="0" w:line="3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Lease transactions with related party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our lease with DoubleU Games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Payments</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00" w:lineRule="exact"/>
        <w:rPr>
          <w:sz w:val="20"/>
          <w:szCs w:val="20"/>
          <w:color w:val="auto"/>
        </w:rPr>
      </w:pPr>
    </w:p>
    <w:p>
      <w:pPr>
        <w:spacing w:after="0" w:line="35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40" w:type="dxa"/>
            <w:vAlign w:val="bottom"/>
          </w:tcPr>
          <w:p>
            <w:pPr>
              <w:spacing w:after="0"/>
              <w:rPr>
                <w:sz w:val="20"/>
                <w:szCs w:val="20"/>
                <w:color w:val="auto"/>
              </w:rPr>
            </w:pPr>
          </w:p>
        </w:tc>
        <w:tc>
          <w:tcPr>
            <w:tcW w:w="2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70"/>
        </w:trPr>
        <w:tc>
          <w:tcPr>
            <w:tcW w:w="3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3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567"/>
        </w:trPr>
        <w:tc>
          <w:tcPr>
            <w:tcW w:w="360" w:type="dxa"/>
            <w:vAlign w:val="bottom"/>
          </w:tcPr>
          <w:p>
            <w:pPr>
              <w:spacing w:after="0"/>
              <w:rPr>
                <w:sz w:val="24"/>
                <w:szCs w:val="24"/>
                <w:color w:val="auto"/>
              </w:rPr>
            </w:pPr>
          </w:p>
        </w:tc>
        <w:tc>
          <w:tcPr>
            <w:tcW w:w="452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20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0"/>
                <w:szCs w:val="20"/>
                <w:color w:val="auto"/>
              </w:rPr>
            </w:pPr>
          </w:p>
        </w:tc>
        <w:tc>
          <w:tcPr>
            <w:tcW w:w="2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r>
      <w:tr>
        <w:trPr>
          <w:trHeight w:val="270"/>
        </w:trPr>
        <w:tc>
          <w:tcPr>
            <w:tcW w:w="3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23"/>
                <w:szCs w:val="23"/>
                <w:color w:val="auto"/>
              </w:rPr>
            </w:pP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bl>
    <w:p>
      <w:pPr>
        <w:spacing w:after="0" w:line="938" w:lineRule="exact"/>
        <w:rPr>
          <w:sz w:val="20"/>
          <w:szCs w:val="20"/>
          <w:color w:val="auto"/>
        </w:rPr>
      </w:pPr>
    </w:p>
    <w:p>
      <w:pPr>
        <w:sectPr>
          <w:pgSz w:w="11900" w:h="16838" w:orient="portrait"/>
          <w:cols w:equalWidth="0" w:num="2">
            <w:col w:w="5640" w:space="720"/>
            <w:col w:w="4880"/>
          </w:cols>
          <w:pgMar w:left="320" w:top="1440" w:right="339" w:bottom="1440" w:gutter="0" w:footer="0" w:header="0"/>
        </w:sectPr>
      </w:pPr>
    </w:p>
    <w:p>
      <w:pPr>
        <w:spacing w:after="0" w:line="1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15.1.</w:t>
        <w:tab/>
        <w:t>Segment reporting</w:t>
      </w:r>
    </w:p>
    <w:p>
      <w:pPr>
        <w:spacing w:after="0" w:line="4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our Chief Executive Officer, in making decisions regarding resource allocation and assessing performance. Total assets and liabilities for each segment are not reported to our Chief Executive Officer. We operate in the following business segments: social casino games and iGaming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4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Pr>
          <w:p>
            <w:pPr>
              <w:spacing w:after="0"/>
              <w:rPr>
                <w:sz w:val="20"/>
                <w:szCs w:val="20"/>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Pr>
          <w:p>
            <w:pPr>
              <w:spacing w:after="0"/>
              <w:rPr>
                <w:sz w:val="20"/>
                <w:szCs w:val="20"/>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Social casino games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76,946</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70,281</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iGaming</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94,122</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83,492</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Advertising expenses:</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Social casino games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iGaming</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(including right-of-use assets):</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Social casino games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iGaming</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depreciation and amortization (including right-of-use assets)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Social casino games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iGaming</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interest income</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Social casino games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iGaming</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interest expense</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Profit before income tax:</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Social casino games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44,724</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33,755</w:t>
            </w:r>
          </w:p>
        </w:tc>
      </w:tr>
      <w:tr>
        <w:trPr>
          <w:trHeight w:val="27"/>
        </w:trPr>
        <w:tc>
          <w:tcPr>
            <w:tcW w:w="6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iGaming</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profit before income tax</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32,778</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Disaggregation of revenue and non-current assets</w:t>
      </w:r>
    </w:p>
    <w:p>
      <w:pPr>
        <w:spacing w:after="0" w:line="4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The Company’s business operations are located in domestic and international regions, including the United States. We believe disaggregation of our revenue based on platform and geographic location are appropriate categories that depict how the nature, amount, timing, and uncertainty of revenue and cash flows are affected by economic factors.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based on the geographic location of our players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2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0"/>
                <w:szCs w:val="20"/>
                <w:color w:val="auto"/>
              </w:rPr>
            </w:pPr>
          </w:p>
        </w:tc>
        <w:tc>
          <w:tcPr>
            <w:tcW w:w="2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57,468</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61,014</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34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4,550</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16,646</w:t>
            </w:r>
          </w:p>
        </w:tc>
        <w:tc>
          <w:tcPr>
            <w:tcW w:w="3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12,213</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34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International-other</w:t>
            </w: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3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5,485</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94,122</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83,492</w:t>
            </w:r>
          </w:p>
        </w:tc>
      </w:tr>
      <w:tr>
        <w:trPr>
          <w:trHeight w:val="52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non-current assets by geographic regions (in thousands):</w:t>
            </w: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9"/>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r>
      <w:tr>
        <w:trPr>
          <w:trHeight w:val="237"/>
        </w:trPr>
        <w:tc>
          <w:tcPr>
            <w:tcW w:w="6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40" w:type="dxa"/>
            <w:vAlign w:val="bottom"/>
          </w:tcPr>
          <w:p>
            <w:pPr>
              <w:spacing w:after="0"/>
              <w:rPr>
                <w:sz w:val="20"/>
                <w:szCs w:val="20"/>
                <w:color w:val="auto"/>
              </w:rPr>
            </w:pPr>
          </w:p>
        </w:tc>
        <w:tc>
          <w:tcPr>
            <w:tcW w:w="2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Korea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418,685</w:t>
            </w:r>
          </w:p>
        </w:tc>
        <w:tc>
          <w:tcPr>
            <w:tcW w:w="3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416,102</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87,036</w:t>
            </w:r>
          </w:p>
        </w:tc>
        <w:tc>
          <w:tcPr>
            <w:tcW w:w="3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94,165</w:t>
            </w:r>
          </w:p>
        </w:tc>
      </w:tr>
      <w:tr>
        <w:trPr>
          <w:trHeight w:val="312"/>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508,869</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512,351</w:t>
            </w: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amounts related to financial assets at fair value through profit or loss and deferred tax assets are excluded.</w:t>
      </w:r>
    </w:p>
    <w:p>
      <w:pPr>
        <w:spacing w:after="0" w:line="22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15.3.</w:t>
        <w:tab/>
        <w:t>Major external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individual external customer accounted for more than 10% of consolidated revenue for each of the three months ended March 31, 2026 and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Acquisition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 WHOW Games</w:t>
      </w:r>
    </w:p>
    <w:p>
      <w:pPr>
        <w:spacing w:after="0" w:line="27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On July 14, 2025, the Company completed its acquisition of WHOW Games GmbH (“WHOW Games”), a German casino game operator, which is now a direct, wholly-owned subsidiary of DDI-US, for a total cash purchase price of €55.0 million (or approximately $64.3 million). As a transaction separate from the business combination there is a deferred payment of up to €10.0 million (or approximately $6.5 million), relating to a performance-based incentive plan amount to be calculated based on the 24 months following the transaction close date, hereinafter referred to as “Performance-based incentive plan”. The total business combination transaction costs incurred by the Company in connection with the acquisition of WHOW Games, including professional fees, were $0.5 million.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9" w:name="page30"/>
    <w:bookmarkEnd w:id="29"/>
    <w:p>
      <w:pPr>
        <w:ind w:right="8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consideration to the acquisition-date fair value of the assets acquired and liabilities assumed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shd w:val="clear" w:color="auto" w:fill="CCEEFF"/>
          </w:tcPr>
          <w:p>
            <w:pPr>
              <w:ind w:left="20"/>
              <w:spacing w:after="0" w:line="207" w:lineRule="exact"/>
              <w:rPr>
                <w:sz w:val="20"/>
                <w:szCs w:val="20"/>
                <w:color w:val="auto"/>
              </w:rPr>
            </w:pPr>
            <w:r>
              <w:rPr>
                <w:rFonts w:ascii="MS PGothic" w:cs="MS PGothic" w:eastAsia="MS PGothic" w:hAnsi="MS PGothic"/>
                <w:sz w:val="18"/>
                <w:szCs w:val="18"/>
                <w:color w:val="auto"/>
              </w:rPr>
              <w:t>Ⅰ</w:t>
            </w:r>
            <w:r>
              <w:rPr>
                <w:rFonts w:ascii="Times New Roman" w:cs="Times New Roman" w:eastAsia="Times New Roman" w:hAnsi="Times New Roman"/>
                <w:sz w:val="18"/>
                <w:szCs w:val="18"/>
                <w:color w:val="auto"/>
              </w:rPr>
              <w:t>. Total purchase consideration</w:t>
            </w:r>
          </w:p>
        </w:tc>
        <w:tc>
          <w:tcPr>
            <w:tcW w:w="3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64,302</w:t>
            </w:r>
          </w:p>
        </w:tc>
      </w:tr>
      <w:tr>
        <w:trPr>
          <w:trHeight w:val="230"/>
        </w:trPr>
        <w:tc>
          <w:tcPr>
            <w:tcW w:w="58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Ⅱ</w:t>
            </w:r>
            <w:r>
              <w:rPr>
                <w:rFonts w:ascii="Times New Roman" w:cs="Times New Roman" w:eastAsia="Times New Roman" w:hAnsi="Times New Roman"/>
                <w:sz w:val="18"/>
                <w:szCs w:val="18"/>
                <w:color w:val="auto"/>
              </w:rPr>
              <w:t>. Identifiable Assets and liabilities, net</w:t>
            </w:r>
          </w:p>
        </w:tc>
        <w:tc>
          <w:tcPr>
            <w:tcW w:w="39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27,628</w:t>
            </w: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9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9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9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36,205</w:t>
            </w: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9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9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9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9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payables</w:t>
            </w:r>
          </w:p>
        </w:tc>
        <w:tc>
          <w:tcPr>
            <w:tcW w:w="39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9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9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9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9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r>
      <w:tr>
        <w:trPr>
          <w:trHeight w:val="303"/>
        </w:trPr>
        <w:tc>
          <w:tcPr>
            <w:tcW w:w="58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Ⅲ</w:t>
            </w:r>
            <w:r>
              <w:rPr>
                <w:rFonts w:ascii="Times New Roman" w:cs="Times New Roman" w:eastAsia="Times New Roman" w:hAnsi="Times New Roman"/>
                <w:sz w:val="18"/>
                <w:szCs w:val="18"/>
                <w:color w:val="auto"/>
              </w:rPr>
              <w:t>. Goodwill (</w:t>
            </w:r>
            <w:r>
              <w:rPr>
                <w:rFonts w:ascii="MS PGothic" w:cs="MS PGothic" w:eastAsia="MS PGothic" w:hAnsi="MS PGothic"/>
                <w:sz w:val="18"/>
                <w:szCs w:val="18"/>
                <w:color w:val="auto"/>
              </w:rPr>
              <w:t>Ⅰ</w:t>
            </w: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Ⅱ</w:t>
            </w:r>
            <w:r>
              <w:rPr>
                <w:rFonts w:ascii="Times New Roman" w:cs="Times New Roman" w:eastAsia="Times New Roman" w:hAnsi="Times New Roman"/>
                <w:sz w:val="18"/>
                <w:szCs w:val="18"/>
                <w:color w:val="auto"/>
              </w:rPr>
              <w:t>)</w:t>
            </w:r>
          </w:p>
        </w:tc>
        <w:tc>
          <w:tcPr>
            <w:tcW w:w="39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36,674</w:t>
            </w:r>
          </w:p>
        </w:tc>
      </w:tr>
    </w:tbl>
    <w:p>
      <w:pPr>
        <w:spacing w:after="0" w:line="232" w:lineRule="exact"/>
        <w:rPr>
          <w:sz w:val="20"/>
          <w:szCs w:val="20"/>
          <w:color w:val="auto"/>
        </w:rPr>
      </w:pPr>
    </w:p>
    <w:p>
      <w:pPr>
        <w:ind w:right="260" w:firstLine="440"/>
        <w:spacing w:after="0" w:line="313" w:lineRule="auto"/>
        <w:rPr>
          <w:sz w:val="20"/>
          <w:szCs w:val="20"/>
          <w:color w:val="auto"/>
        </w:rPr>
      </w:pPr>
      <w:r>
        <w:rPr>
          <w:rFonts w:ascii="Times New Roman" w:cs="Times New Roman" w:eastAsia="Times New Roman" w:hAnsi="Times New Roman"/>
          <w:sz w:val="18"/>
          <w:szCs w:val="18"/>
          <w:color w:val="auto"/>
        </w:rPr>
        <w:t>The above allocation of the purchase price can be subject to change within the measurement period, but no later than one year from the date of the acquisition close.</w:t>
      </w:r>
    </w:p>
    <w:p>
      <w:pPr>
        <w:spacing w:after="0" w:line="176" w:lineRule="exact"/>
        <w:rPr>
          <w:sz w:val="20"/>
          <w:szCs w:val="20"/>
          <w:color w:val="auto"/>
        </w:rPr>
      </w:pPr>
    </w:p>
    <w:p>
      <w:pPr>
        <w:ind w:right="60" w:firstLine="440"/>
        <w:spacing w:after="0" w:line="297" w:lineRule="auto"/>
        <w:rPr>
          <w:sz w:val="20"/>
          <w:szCs w:val="20"/>
          <w:color w:val="auto"/>
        </w:rPr>
      </w:pPr>
      <w:r>
        <w:rPr>
          <w:rFonts w:ascii="Times New Roman" w:cs="Times New Roman" w:eastAsia="Times New Roman" w:hAnsi="Times New Roman"/>
          <w:sz w:val="18"/>
          <w:szCs w:val="18"/>
          <w:color w:val="auto"/>
        </w:rPr>
        <w:t>The income approach was used to determine the fair value of game intellectual property, applying a weighted average cost of capital of 11% and a terminal growth rate of 1%. The useful lives of the intellectual property we acquired from WHOW Games range between 7.7 and 10.2 years. Goodwill represents the excess of the purchase price over the preliminary fair value of identifiable assets acquired and liabilities assumed at the acquisition date and is primarily attributable to the assembled workforce and expected synergies at the time of the acquisition. For tax purposes, no tax-deductible goodwill was generated as a result of this acquisition.</w:t>
      </w:r>
    </w:p>
    <w:p>
      <w:pPr>
        <w:spacing w:after="0" w:line="177" w:lineRule="exact"/>
        <w:rPr>
          <w:sz w:val="20"/>
          <w:szCs w:val="20"/>
          <w:color w:val="auto"/>
        </w:rPr>
      </w:pPr>
    </w:p>
    <w:p>
      <w:pPr>
        <w:ind w:right="200" w:firstLine="440"/>
        <w:spacing w:after="0" w:line="329" w:lineRule="auto"/>
        <w:rPr>
          <w:sz w:val="20"/>
          <w:szCs w:val="20"/>
          <w:color w:val="auto"/>
        </w:rPr>
      </w:pPr>
      <w:r>
        <w:rPr>
          <w:rFonts w:ascii="Times New Roman" w:cs="Times New Roman" w:eastAsia="Times New Roman" w:hAnsi="Times New Roman"/>
          <w:sz w:val="18"/>
          <w:szCs w:val="18"/>
          <w:color w:val="auto"/>
        </w:rPr>
        <w:t>The Company’s consolidated statement of comprehensive income as of March 31, 2026 includes WHOW Games’ revenue of $9.9 million and pre-tax income of $1.4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sectPr>
      <w:pgSz w:w="11900" w:h="16838" w:orient="portrait"/>
      <w:cols w:equalWidth="0" w:num="1">
        <w:col w:w="11240"/>
      </w:cols>
      <w:pgMar w:left="320" w:top="11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lvl w:ilvl="1">
      <w:lvlJc w:val="left"/>
      <w:lvlText w:val="(%2)"/>
      <w:numFmt w:val="decimal"/>
      <w:start w:val="1"/>
    </w:lvl>
  </w:abstractNum>
  <w:abstractNum w:abstractNumId="9">
    <w:nsid w:val="1190CDE7"/>
    <w:multiLevelType w:val="hybridMultilevel"/>
    <w:lvl w:ilvl="0">
      <w:lvlJc w:val="left"/>
      <w:lvlText w:val="%1."/>
      <w:numFmt w:val="decimal"/>
      <w:start w:val="11"/>
    </w:lvl>
    <w:lvl w:ilvl="1">
      <w:lvlJc w:val="left"/>
      <w:lvlText w:val="%2"/>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3"/>
    </w:lvl>
  </w:abstractNum>
  <w:abstractNum w:abstractNumId="12">
    <w:nsid w:val="3352255A"/>
    <w:multiLevelType w:val="hybridMultilevel"/>
    <w:lvl w:ilvl="0">
      <w:lvlJc w:val="left"/>
      <w:lvlText w:val="13.%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2026-05-12T15:14:51Z</dcterms:created>
  <dcterms:modified xsi:type="dcterms:W3CDTF">2026-05-12T15:14:51Z</dcterms:modified>
</cp:coreProperties>
</file>